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139"/>
        <w:gridCol w:w="1090"/>
        <w:gridCol w:w="1445"/>
        <w:gridCol w:w="1245"/>
        <w:gridCol w:w="139"/>
        <w:gridCol w:w="1706"/>
        <w:gridCol w:w="894"/>
      </w:tblGrid>
      <w:tr>
        <w:trPr>
          <w:trHeight w:val="600" w:hRule="atLeast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项目绩效自评表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432" w:hRule="atLeast"/>
        </w:trPr>
        <w:tc>
          <w:tcPr>
            <w:tcW w:w="93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填报日期：2020年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日                                                 总分：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96.4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rPr>
          <w:trHeight w:val="420" w:hRule="atLeas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5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法律服务工作经费</w:t>
            </w:r>
          </w:p>
        </w:tc>
      </w:tr>
      <w:tr>
        <w:trPr>
          <w:trHeight w:val="420" w:hRule="atLeas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武汉市青山区司法局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27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武汉市青山区司法局</w:t>
            </w:r>
          </w:p>
        </w:tc>
      </w:tr>
      <w:tr>
        <w:trPr>
          <w:trHeight w:val="436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6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1.部门预算项目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2.区级专项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3.转移支付项目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42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6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1.持续性项目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2.新增性项目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42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6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1.常年性项目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         2.延续性项目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     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3.一次性项目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600" w:hRule="atLeast"/>
        </w:trPr>
        <w:tc>
          <w:tcPr>
            <w:tcW w:w="164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预算执行情况（万元）  （20分）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预算数（A）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执行数（B）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执行率（B/A）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>
        <w:trPr>
          <w:trHeight w:val="600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190.74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175.5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18.4</w:t>
            </w:r>
          </w:p>
        </w:tc>
      </w:tr>
      <w:tr>
        <w:trPr>
          <w:trHeight w:val="85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年初目标值（A）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实际完成值（B）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765" w:hRule="atLeast"/>
        </w:trPr>
        <w:tc>
          <w:tcPr>
            <w:tcW w:w="164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产出指标（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1：主题+普法宣传活动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法治宣传活动3000余场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2：法治文化阵地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将南干渠法治文化游园打造成集休闲、娱乐、普法为一体的法治文化宣传阵地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已建成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90" w:hRule="atLeast"/>
        </w:trPr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3：社区、村法律顾问覆盖率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:4：公共法律服务平台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广泛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运用“青山掌上公共法律服务”便民网络平台，粉丝总量高达3.5万余人，居民咨询3248次，好评率100%。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1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5：法律援助案件办案数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900件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办理各类法律援助案件940余件，办理法律援助事务5000余件，创历年新高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566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:1：普法教育覆盖率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489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2：值班律师到岗率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442" w:hRule="atLeast"/>
        </w:trPr>
        <w:tc>
          <w:tcPr>
            <w:tcW w:w="16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3：全年工作计划完成率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559" w:hRule="atLeast"/>
        </w:trPr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效益指标（40分）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效果指标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1：为我区经济发展营造良好的法制环境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营造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充分营造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2：全民推进法治文化建设，开展法治宣传教育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3：法律咨询、法律建议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rPr>
          <w:trHeight w:val="493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项目可持续性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rPr>
          <w:trHeight w:val="457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1：服务对象满意度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满意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2119" w:hRule="atLeast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备注: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1.预算执行情况口径: 预算数为调整后财政资金总额 (包括上年结余结转) ，执行数为资金使用单位财政资金实际支出数。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>
      <w:pPr>
        <w:widowControl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2045" w:tblpY="1474"/>
        <w:tblOverlap w:val="never"/>
        <w:tblW w:w="9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44"/>
        <w:gridCol w:w="1143"/>
        <w:gridCol w:w="1186"/>
        <w:gridCol w:w="1559"/>
        <w:gridCol w:w="1559"/>
        <w:gridCol w:w="1405"/>
      </w:tblGrid>
      <w:tr>
        <w:trPr>
          <w:trHeight w:val="600" w:hRule="atLeast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项目绩效自评表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432" w:hRule="atLeast"/>
        </w:trPr>
        <w:tc>
          <w:tcPr>
            <w:tcW w:w="93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填报日期：2020年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日                                                       总分：9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基层工作经费</w:t>
            </w:r>
          </w:p>
        </w:tc>
      </w:tr>
      <w:tr>
        <w:trPr>
          <w:trHeight w:val="42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武汉市青山区司法局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武汉市青山区司法局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1.部门预算项目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RR     2.区级专项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      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3.转移支付项目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1.持续性项目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R        2.新增性项目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1.常年性项目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R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2.延续性项目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    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3.一次性项目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600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预算执行情况（万元）  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预算数（A）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执行数（B）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执行率（B/A）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（20分*执行率）</w:t>
            </w:r>
          </w:p>
        </w:tc>
      </w:tr>
      <w:tr>
        <w:trPr>
          <w:trHeight w:val="60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232.82</w:t>
            </w:r>
            <w:r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20分</w:t>
            </w:r>
          </w:p>
        </w:tc>
      </w:tr>
      <w:tr>
        <w:trPr>
          <w:trHeight w:val="61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年初目标值（A）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实际完成值（B）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600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产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指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标        （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1：人民调解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6000件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开展矛盾纠纷排查6645多次，受理调解各类矛盾纠纷6072件，调解成功率达100%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2：重大调解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150件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化解重大疑难纠纷199件；防止矛盾纠纷激化93件，防激化率100%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1：调解成功率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1102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2：提档升级司法所软硬件建设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优良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优良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440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1：工作计划完成率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440" w:hRule="atLeast"/>
        </w:trPr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1：成本节约率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5.0%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5.0%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益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指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标        （40分）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1：维护社会和谐安全稳定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达成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基本达成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</w:tr>
      <w:tr>
        <w:trPr>
          <w:trHeight w:val="437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项目可持续（10分）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</w:tr>
      <w:tr>
        <w:trPr>
          <w:trHeight w:val="62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1：服务对象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满意度（10分）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满意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满意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</w:tr>
      <w:tr>
        <w:trPr>
          <w:trHeight w:val="2119" w:hRule="atLeast"/>
        </w:trPr>
        <w:tc>
          <w:tcPr>
            <w:tcW w:w="9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备注: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1.预算执行情况口径: 预算数为调整后财政资金总额 (包括上年结余结转) ，执行数为资金使用单位财政资金实际支出数。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>
      <w:pPr>
        <w:widowControl/>
        <w:snapToGrid w:val="0"/>
        <w:spacing w:before="0" w:beforeAutospacing="1" w:after="0" w:afterAutospacing="1" w:line="560" w:lineRule="atLeast"/>
        <w:ind w:left="0" w:right="0" w:firstLine="640"/>
        <w:rPr>
          <w:rFonts w:hint="default" w:ascii="仿宋_GB2312" w:hAnsi="宋体" w:eastAsia="仿宋_GB2312" w:cs="仿宋_GB2312"/>
          <w:kern w:val="0"/>
          <w:sz w:val="32"/>
          <w:szCs w:val="32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before="0" w:beforeAutospacing="1" w:after="0" w:afterAutospacing="1" w:line="560" w:lineRule="atLeast"/>
        <w:ind w:left="0" w:right="0" w:firstLine="640"/>
        <w:rPr>
          <w:rFonts w:hint="default" w:ascii="仿宋_GB2312" w:hAnsi="宋体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before="0" w:beforeAutospacing="1" w:after="0" w:afterAutospacing="1" w:line="560" w:lineRule="atLeast"/>
        <w:ind w:left="0" w:right="0" w:firstLine="640"/>
        <w:rPr>
          <w:rFonts w:hint="default" w:ascii="仿宋_GB2312" w:hAnsi="宋体" w:eastAsia="仿宋_GB2312" w:cs="仿宋_GB2312"/>
          <w:kern w:val="0"/>
          <w:sz w:val="32"/>
          <w:szCs w:val="32"/>
        </w:rPr>
      </w:pPr>
    </w:p>
    <w:tbl>
      <w:tblPr>
        <w:tblW w:w="931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44"/>
        <w:gridCol w:w="1143"/>
        <w:gridCol w:w="1186"/>
        <w:gridCol w:w="1559"/>
        <w:gridCol w:w="1559"/>
        <w:gridCol w:w="1405"/>
      </w:tblGrid>
      <w:tr>
        <w:trPr>
          <w:trHeight w:val="600" w:hRule="atLeast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项目绩效自评表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rPr>
          <w:trHeight w:val="432" w:hRule="atLeast"/>
        </w:trPr>
        <w:tc>
          <w:tcPr>
            <w:tcW w:w="93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填报日期：2020年7月2日                                                       总分：98</w:t>
            </w:r>
          </w:p>
        </w:tc>
      </w:tr>
      <w:tr>
        <w:trPr>
          <w:trHeight w:val="42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社区矫正工作经费</w:t>
            </w:r>
          </w:p>
        </w:tc>
      </w:tr>
      <w:tr>
        <w:trPr>
          <w:trHeight w:val="353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武汉市青山区司法局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武汉市青山区司法局</w:t>
            </w:r>
          </w:p>
        </w:tc>
      </w:tr>
      <w:tr>
        <w:trPr>
          <w:trHeight w:val="420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1.部门预算项目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RR     2.区级专项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      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3.转移支付项目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35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1.持续性项目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R        2.新增性项目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31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1.常年性项目</w:t>
            </w:r>
            <w:r>
              <w:rPr>
                <w:rFonts w:hint="default" w:ascii="Wingdings 2" w:hAnsi="Wingdings 2" w:eastAsia="仿宋_GB2312" w:cs="宋体"/>
                <w:kern w:val="0"/>
                <w:sz w:val="20"/>
                <w:szCs w:val="20"/>
              </w:rPr>
              <w:t>R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R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2.延续性项目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      </w:t>
            </w:r>
            <w:r>
              <w:rPr>
                <w:rFonts w:hint="default" w:ascii="仿宋_GB2312" w:hAnsi="宋体" w:eastAsia="仿宋_GB2312" w:cs="仿宋_GB2312"/>
                <w:kern w:val="0"/>
                <w:sz w:val="20"/>
                <w:szCs w:val="20"/>
              </w:rPr>
              <w:t xml:space="preserve">3.一次性项目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rPr>
          <w:trHeight w:val="766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 xml:space="preserve">预算执行情况（万元）  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预算数（A）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执行数（B）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执行率（B/A）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（20分*执行率）</w:t>
            </w:r>
          </w:p>
        </w:tc>
      </w:tr>
      <w:tr>
        <w:trPr>
          <w:trHeight w:val="579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63.95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63.95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20分</w:t>
            </w:r>
          </w:p>
        </w:tc>
      </w:tr>
      <w:tr>
        <w:trPr>
          <w:trHeight w:val="42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年初目标值（A）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实际完成值（B）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452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产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指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标        （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1：刑释人员帮教率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 w:val="20"/>
                <w:szCs w:val="20"/>
                <w:lang w:val="en-US" w:eastAsia="zh-CN"/>
              </w:rPr>
              <w:t>≧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499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2：刑释人员安置率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仿宋_GB2312" w:cs="Arial"/>
                <w:kern w:val="0"/>
                <w:sz w:val="20"/>
                <w:szCs w:val="20"/>
                <w:lang w:val="en-US" w:eastAsia="zh-CN"/>
              </w:rPr>
              <w:t>≧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80%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556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1：重点刑释人员衔接率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2：重点服刑人员回执发送率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512" w:hRule="atLeast"/>
        </w:trPr>
        <w:tc>
          <w:tcPr>
            <w:tcW w:w="1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1：全年工作计划完成率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br/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440" w:hRule="atLeast"/>
        </w:trPr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1：成本节约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5.0%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5.0%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益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指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br/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标        （40分）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效果指标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1：全区在册社区服刑人员重新犯罪率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  <w:t>≦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0.5%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  <w:t>≦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0.5%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2：刑满释放人员重新犯罪率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  <w:t>≦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3%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  <w:t>≦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3%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545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项目可持续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可持续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rPr>
          <w:trHeight w:val="788" w:hRule="atLeast"/>
        </w:trPr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指标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1：服务对象满意度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满意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满意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9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备注:1.预算执行情况口径: 预算数为调整后财政资金总额 (包括上年结余结转) ，执行数为资金使用单位财政资金实际支出数。2.定量指标完成数汇总原则: 绝对值直接累加计算，相对值按照资金额度加权平均计算。定量指标计分原则: 正向指标 (即目标值为 &gt;X, 得分=权重B/A) ，反向指标 (即目标值为&amp; X，得分=权重A/B) ，得分不得突破权重总额。定量指标先汇总完成数，再计算得分。3.定性指标计分原则: 达成预期指标、部分达成预期指标并具有一定效果、未达成预期指标 且效果较差三档，分别按照该指标对应分值区间 100-80(含80%) 、80-50% (含50%) 、 50-0%合理确定分值。汇总时，以资金额度为权重，对分值进行加权平均计算。</w:t>
            </w:r>
            <w:bookmarkStart w:id="0" w:name="_GoBack"/>
            <w:bookmarkEnd w:id="0"/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综艺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dobe ·ÂËÎ Std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·ÂËÎ Std 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·ВЛО Std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n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08bedd208a1284ac850437400100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08bedd208a1284ac850437400300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08bedd208a1284ac850437400500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08bedd208a1284ac850437400200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08bedd208a1284ac850437400400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LastResor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大标宋简体">
    <w:altName w:val="宋体"/>
    <w:panose1 w:val="02010601030101010101"/>
    <w:charset w:val="01"/>
    <w:family w:val="auto"/>
    <w:pitch w:val="default"/>
    <w:sig w:usb0="00000000" w:usb1="00000000" w:usb2="00000000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Adobe 楷体 Std R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Fa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Fa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Fa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Fa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Fa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Fa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UTF-8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, 仿宋_GB2312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榛戜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楷体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ans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8" w:usb3="00000000" w:csb0="000101FF" w:csb1="00000000"/>
  </w:font>
  <w:font w:name="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ambr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YaHei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YaHei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YaHei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SimSun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 CE">
    <w:altName w:val="Verdan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 Cyr">
    <w:altName w:val="Verdan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Greek">
    <w:altName w:val="Verdan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Tur">
    <w:altName w:val="Verdan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 Baltic">
    <w:altName w:val="Verdan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C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a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16" w:usb3="00000000" w:csb0="00140001" w:csb1="00000000"/>
  </w:font>
  <w:font w:name="STFangsong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,Helvetic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badi MT Condensed Light">
    <w:altName w:val="MV Boli"/>
    <w:panose1 w:val="020B0306030101010103"/>
    <w:charset w:val="00"/>
    <w:family w:val="auto"/>
    <w:pitch w:val="default"/>
    <w:sig w:usb0="00000000" w:usb1="00000000" w:usb2="00000000" w:usb3="00000000" w:csb0="00000001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KswHannyaotamesi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吕建德行楷简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禹卫书法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TA">
    <w:altName w:val="Segoe Print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KTB">
    <w:altName w:val="Segoe Print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FSA">
    <w:altName w:val="Segoe Print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FSB">
    <w:altName w:val="Segoe Print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Caslon Pr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带心的可爱字体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SGB2312A">
    <w:altName w:val="楷体_GB2312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FSGB2312B">
    <w:altName w:val="楷体_GB2312"/>
    <w:panose1 w:val="0201060903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2020-10-20T09:17:00Z</dcterms:created>
  <dc:creator>青山</dc:creator>
  <cp:lastPrinted>2020-10-28T10:56:28Z</cp:lastPrinted>
  <dcterms:modified xsi:type="dcterms:W3CDTF">2020-10-28T10:59:41Z</dcterms:modified>
  <dc:title>青山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