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cs="Times New Roman"/>
          <w:b/>
          <w:kern w:val="44"/>
          <w:sz w:val="44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highlight w:val="none"/>
        </w:rPr>
        <w:t xml:space="preserve">第三部分  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highlight w:val="none"/>
          <w:u w:val="single"/>
          <w:lang w:eastAsia="zh-CN"/>
        </w:rPr>
        <w:t>武汉市青山区退役军人事务局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highlight w:val="none"/>
        </w:rPr>
        <w:t>2019年度部门决算情况说明</w:t>
      </w:r>
    </w:p>
    <w:p/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eastAsia" w:ascii="黑体" w:hAnsi="宋体" w:eastAsia="黑体" w:cs="黑体"/>
          <w:sz w:val="32"/>
          <w:szCs w:val="32"/>
        </w:rPr>
        <w:t>一、</w:t>
      </w:r>
      <w:r>
        <w:rPr>
          <w:rFonts w:hint="eastAsia" w:ascii="黑体" w:hAnsi="宋体" w:eastAsia="黑体" w:cs="黑体"/>
          <w:sz w:val="32"/>
          <w:szCs w:val="32"/>
          <w:lang w:val="en-US"/>
        </w:rPr>
        <w:t>2019</w:t>
      </w:r>
      <w:r>
        <w:rPr>
          <w:rFonts w:hint="eastAsia" w:ascii="黑体" w:hAnsi="宋体" w:eastAsia="黑体" w:cs="黑体"/>
          <w:sz w:val="32"/>
          <w:szCs w:val="32"/>
        </w:rPr>
        <w:t>年度收入支出决算总体情况说明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仿宋_GB2312" w:eastAsia="仿宋_GB2312" w:cs="仿宋_GB2312"/>
          <w:sz w:val="32"/>
          <w:szCs w:val="32"/>
          <w:lang w:val="en-US"/>
        </w:rPr>
        <w:t>2019</w:t>
      </w:r>
      <w:r>
        <w:rPr>
          <w:rFonts w:hint="default" w:ascii="仿宋_GB2312" w:eastAsia="仿宋_GB2312" w:cs="仿宋_GB2312"/>
          <w:sz w:val="32"/>
          <w:szCs w:val="32"/>
        </w:rPr>
        <w:t>年度收、支总计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3,987.09</w:t>
      </w:r>
      <w:r>
        <w:rPr>
          <w:rFonts w:hint="default" w:ascii="仿宋_GB2312" w:eastAsia="仿宋_GB2312" w:cs="仿宋_GB2312"/>
          <w:sz w:val="32"/>
          <w:szCs w:val="32"/>
        </w:rPr>
        <w:t>万元。与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2018</w:t>
      </w:r>
      <w:r>
        <w:rPr>
          <w:rFonts w:hint="default" w:ascii="仿宋_GB2312" w:eastAsia="仿宋_GB2312" w:cs="仿宋_GB2312"/>
          <w:sz w:val="32"/>
          <w:szCs w:val="32"/>
        </w:rPr>
        <w:t>年相比，收、支总计各增加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3,987.09</w:t>
      </w:r>
      <w:r>
        <w:rPr>
          <w:rFonts w:hint="default" w:asci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%</w:t>
      </w:r>
      <w:r>
        <w:rPr>
          <w:rFonts w:hint="default" w:ascii="仿宋_GB2312" w:eastAsia="仿宋_GB2312" w:cs="仿宋_GB2312"/>
          <w:sz w:val="32"/>
          <w:szCs w:val="32"/>
        </w:rPr>
        <w:t>，主要原因是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本单位是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2019年新成立单位，无2018年收、支总计</w:t>
      </w:r>
      <w:r>
        <w:rPr>
          <w:rFonts w:hint="default" w:asci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rPr>
          <w:rFonts w:hint="default" w:ascii="仿宋_GB2312" w:eastAsia="仿宋_GB2312" w:cs="仿宋_GB2312"/>
          <w:sz w:val="32"/>
          <w:szCs w:val="32"/>
        </w:rPr>
      </w:pPr>
      <w:r>
        <w:rPr>
          <w:rFonts w:hint="default" w:ascii="仿宋_GB2312" w:eastAsia="仿宋_GB2312" w:cs="仿宋_GB2312"/>
          <w:sz w:val="32"/>
          <w:szCs w:val="32"/>
        </w:rPr>
        <w:t>图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1</w:t>
      </w:r>
      <w:r>
        <w:rPr>
          <w:rFonts w:hint="default" w:ascii="仿宋_GB2312" w:eastAsia="仿宋_GB2312" w:cs="仿宋_GB2312"/>
          <w:sz w:val="32"/>
          <w:szCs w:val="32"/>
        </w:rPr>
        <w:t>：收、支决算总计变动情况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jc w:val="left"/>
        <w:rPr>
          <w:rFonts w:hint="default" w:ascii="仿宋_GB2312" w:eastAsia="仿宋_GB2312" w:cs="仿宋_GB2312"/>
          <w:sz w:val="32"/>
          <w:szCs w:val="32"/>
          <w:lang w:val="en-US"/>
        </w:rPr>
      </w:pPr>
      <w:r>
        <w:drawing>
          <wp:inline distT="0" distB="0" distL="114300" distR="114300">
            <wp:extent cx="4893945" cy="3358515"/>
            <wp:effectExtent l="4445" t="4445" r="8890" b="5080"/>
            <wp:docPr id="1057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rPr>
          <w:rFonts w:hint="default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eastAsia" w:ascii="黑体" w:hAnsi="宋体" w:eastAsia="黑体" w:cs="黑体"/>
          <w:sz w:val="32"/>
          <w:szCs w:val="32"/>
        </w:rPr>
        <w:t>二、</w:t>
      </w:r>
      <w:r>
        <w:rPr>
          <w:rFonts w:hint="eastAsia" w:ascii="黑体" w:hAnsi="宋体" w:eastAsia="黑体" w:cs="黑体"/>
          <w:sz w:val="32"/>
          <w:szCs w:val="32"/>
          <w:lang w:val="en-US"/>
        </w:rPr>
        <w:t>2019</w:t>
      </w:r>
      <w:r>
        <w:rPr>
          <w:rFonts w:hint="eastAsia" w:ascii="黑体" w:hAnsi="宋体" w:eastAsia="黑体" w:cs="黑体"/>
          <w:sz w:val="32"/>
          <w:szCs w:val="32"/>
        </w:rPr>
        <w:t>年度收入决算情况说明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仿宋_GB2312" w:eastAsia="仿宋_GB2312" w:cs="仿宋_GB2312"/>
          <w:sz w:val="32"/>
          <w:szCs w:val="32"/>
          <w:lang w:val="en-US"/>
        </w:rPr>
        <w:t>2019</w:t>
      </w:r>
      <w:r>
        <w:rPr>
          <w:rFonts w:hint="default" w:ascii="仿宋_GB2312" w:eastAsia="仿宋_GB2312" w:cs="仿宋_GB2312"/>
          <w:sz w:val="32"/>
          <w:szCs w:val="32"/>
        </w:rPr>
        <w:t>年度本年收入合计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3,987.09</w:t>
      </w:r>
      <w:r>
        <w:rPr>
          <w:rFonts w:hint="default" w:ascii="仿宋_GB2312" w:eastAsia="仿宋_GB2312" w:cs="仿宋_GB2312"/>
          <w:sz w:val="32"/>
          <w:szCs w:val="32"/>
        </w:rPr>
        <w:t>万元。其中：财政拨款收入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3,987.09</w:t>
      </w:r>
      <w:r>
        <w:rPr>
          <w:rFonts w:hint="default" w:ascii="仿宋_GB2312" w:eastAsia="仿宋_GB2312" w:cs="仿宋_GB2312"/>
          <w:sz w:val="32"/>
          <w:szCs w:val="32"/>
        </w:rPr>
        <w:t>万元，占本年收入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100.00%</w:t>
      </w:r>
      <w:r>
        <w:rPr>
          <w:rFonts w:hint="default" w:ascii="仿宋_GB2312" w:eastAsia="仿宋_GB2312" w:cs="仿宋_GB2312"/>
          <w:sz w:val="32"/>
          <w:szCs w:val="32"/>
        </w:rPr>
        <w:t>；上级补助收入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万元，占本年收入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0.00%</w:t>
      </w:r>
      <w:r>
        <w:rPr>
          <w:rFonts w:hint="default" w:ascii="仿宋_GB2312" w:eastAsia="仿宋_GB2312" w:cs="仿宋_GB2312"/>
          <w:sz w:val="32"/>
          <w:szCs w:val="32"/>
        </w:rPr>
        <w:t>；事业收入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万元，占本年收入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0.00%</w:t>
      </w:r>
      <w:r>
        <w:rPr>
          <w:rFonts w:hint="default" w:ascii="仿宋_GB2312" w:eastAsia="仿宋_GB2312" w:cs="仿宋_GB2312"/>
          <w:sz w:val="32"/>
          <w:szCs w:val="32"/>
        </w:rPr>
        <w:t>；经营收入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万元，占本年收入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0.00%</w:t>
      </w:r>
      <w:r>
        <w:rPr>
          <w:rFonts w:hint="default" w:ascii="仿宋_GB2312" w:eastAsia="仿宋_GB2312" w:cs="仿宋_GB2312"/>
          <w:sz w:val="32"/>
          <w:szCs w:val="32"/>
        </w:rPr>
        <w:t>；附属单位上缴收入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万元，占本年收入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0.00%</w:t>
      </w:r>
      <w:r>
        <w:rPr>
          <w:rFonts w:hint="default" w:ascii="仿宋_GB2312" w:eastAsia="仿宋_GB2312" w:cs="仿宋_GB2312"/>
          <w:sz w:val="32"/>
          <w:szCs w:val="32"/>
        </w:rPr>
        <w:t>；其他收入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万元，占本年收入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0.00%</w:t>
      </w:r>
      <w:r>
        <w:rPr>
          <w:rFonts w:hint="default" w:asci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960"/>
        <w:rPr>
          <w:rFonts w:hint="default" w:ascii="仿宋_GB2312" w:eastAsia="仿宋_GB2312" w:cs="仿宋_GB2312"/>
          <w:sz w:val="32"/>
          <w:szCs w:val="32"/>
        </w:rPr>
      </w:pPr>
      <w:r>
        <w:rPr>
          <w:rFonts w:hint="default" w:ascii="仿宋_GB2312" w:eastAsia="仿宋_GB2312" w:cs="仿宋_GB2312"/>
          <w:sz w:val="32"/>
          <w:szCs w:val="32"/>
        </w:rPr>
        <w:t>图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2</w:t>
      </w:r>
      <w:r>
        <w:rPr>
          <w:rFonts w:hint="default" w:ascii="仿宋_GB2312" w:eastAsia="仿宋_GB2312" w:cs="仿宋_GB2312"/>
          <w:sz w:val="32"/>
          <w:szCs w:val="32"/>
        </w:rPr>
        <w:t>：收入决算结构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960"/>
        <w:jc w:val="both"/>
        <w:rPr>
          <w:rFonts w:hint="default" w:asci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4902200" cy="3444240"/>
            <wp:effectExtent l="4445" t="4445" r="15875" b="10795"/>
            <wp:docPr id="1058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eastAsia" w:ascii="黑体" w:hAnsi="宋体" w:eastAsia="黑体" w:cs="黑体"/>
          <w:sz w:val="32"/>
          <w:szCs w:val="32"/>
        </w:rPr>
        <w:t>三、</w:t>
      </w:r>
      <w:r>
        <w:rPr>
          <w:rFonts w:hint="eastAsia" w:ascii="黑体" w:hAnsi="宋体" w:eastAsia="黑体" w:cs="黑体"/>
          <w:sz w:val="32"/>
          <w:szCs w:val="32"/>
          <w:lang w:val="en-US"/>
        </w:rPr>
        <w:t>2019</w:t>
      </w:r>
      <w:r>
        <w:rPr>
          <w:rFonts w:hint="eastAsia" w:ascii="黑体" w:hAnsi="宋体" w:eastAsia="黑体" w:cs="黑体"/>
          <w:sz w:val="32"/>
          <w:szCs w:val="32"/>
        </w:rPr>
        <w:t>年度支出决算情况说明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仿宋_GB2312" w:eastAsia="仿宋_GB2312" w:cs="仿宋_GB2312"/>
          <w:sz w:val="32"/>
          <w:szCs w:val="32"/>
          <w:lang w:val="en-US"/>
        </w:rPr>
        <w:t>2019</w:t>
      </w:r>
      <w:r>
        <w:rPr>
          <w:rFonts w:hint="default" w:ascii="仿宋_GB2312" w:eastAsia="仿宋_GB2312" w:cs="仿宋_GB2312"/>
          <w:sz w:val="32"/>
          <w:szCs w:val="32"/>
        </w:rPr>
        <w:t>年度本年支出合计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3,987.09</w:t>
      </w:r>
      <w:r>
        <w:rPr>
          <w:rFonts w:hint="default" w:ascii="仿宋_GB2312" w:eastAsia="仿宋_GB2312" w:cs="仿宋_GB2312"/>
          <w:sz w:val="32"/>
          <w:szCs w:val="32"/>
        </w:rPr>
        <w:t>万元。其中：基本支出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66.38</w:t>
      </w:r>
      <w:r>
        <w:rPr>
          <w:rFonts w:hint="default" w:ascii="仿宋_GB2312" w:eastAsia="仿宋_GB2312" w:cs="仿宋_GB2312"/>
          <w:sz w:val="32"/>
          <w:szCs w:val="32"/>
        </w:rPr>
        <w:t>万元，占本年支出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1.66%</w:t>
      </w:r>
      <w:r>
        <w:rPr>
          <w:rFonts w:hint="default" w:ascii="仿宋_GB2312" w:eastAsia="仿宋_GB2312" w:cs="仿宋_GB2312"/>
          <w:sz w:val="32"/>
          <w:szCs w:val="32"/>
        </w:rPr>
        <w:t>；项目支出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3,920.71</w:t>
      </w:r>
      <w:r>
        <w:rPr>
          <w:rFonts w:hint="default" w:ascii="仿宋_GB2312" w:eastAsia="仿宋_GB2312" w:cs="仿宋_GB2312"/>
          <w:sz w:val="32"/>
          <w:szCs w:val="32"/>
        </w:rPr>
        <w:t>万元，占本年支出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98.34%</w:t>
      </w:r>
      <w:r>
        <w:rPr>
          <w:rFonts w:hint="default" w:ascii="仿宋_GB2312" w:eastAsia="仿宋_GB2312" w:cs="仿宋_GB2312"/>
          <w:sz w:val="32"/>
          <w:szCs w:val="32"/>
        </w:rPr>
        <w:t>；上缴上级支出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万元，占本年支出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0.00%</w:t>
      </w:r>
      <w:r>
        <w:rPr>
          <w:rFonts w:hint="default" w:ascii="仿宋_GB2312" w:eastAsia="仿宋_GB2312" w:cs="仿宋_GB2312"/>
          <w:sz w:val="32"/>
          <w:szCs w:val="32"/>
        </w:rPr>
        <w:t>；经营支出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万元，占本年支出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0.00%</w:t>
      </w:r>
      <w:r>
        <w:rPr>
          <w:rFonts w:hint="default" w:ascii="仿宋_GB2312" w:eastAsia="仿宋_GB2312" w:cs="仿宋_GB2312"/>
          <w:sz w:val="32"/>
          <w:szCs w:val="32"/>
        </w:rPr>
        <w:t>；对附属单位补助支出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万元，占本年支出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0.00%</w:t>
      </w:r>
      <w:r>
        <w:rPr>
          <w:rFonts w:hint="default" w:asci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right="0"/>
        <w:rPr>
          <w:rFonts w:hint="default" w:ascii="仿宋_GB2312" w:eastAsia="仿宋_GB2312" w:cs="仿宋_GB2312"/>
          <w:sz w:val="32"/>
          <w:szCs w:val="32"/>
        </w:rPr>
      </w:pPr>
      <w:r>
        <w:rPr>
          <w:rFonts w:hint="default" w:ascii="仿宋_GB2312" w:eastAsia="仿宋_GB2312" w:cs="仿宋_GB2312"/>
          <w:sz w:val="32"/>
          <w:szCs w:val="32"/>
        </w:rPr>
        <w:t>图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3</w:t>
      </w:r>
      <w:r>
        <w:rPr>
          <w:rFonts w:hint="default" w:ascii="仿宋_GB2312" w:eastAsia="仿宋_GB2312" w:cs="仿宋_GB2312"/>
          <w:sz w:val="32"/>
          <w:szCs w:val="32"/>
        </w:rPr>
        <w:t>：支出决算结构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1280"/>
        <w:rPr>
          <w:rFonts w:hint="default" w:asci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4988560" cy="3019425"/>
            <wp:effectExtent l="4445" t="4445" r="5715" b="8890"/>
            <wp:docPr id="1059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eastAsia" w:ascii="黑体" w:hAnsi="宋体" w:eastAsia="黑体" w:cs="黑体"/>
          <w:sz w:val="32"/>
          <w:szCs w:val="32"/>
        </w:rPr>
        <w:t>四、</w:t>
      </w:r>
      <w:r>
        <w:rPr>
          <w:rFonts w:hint="eastAsia" w:ascii="黑体" w:hAnsi="宋体" w:eastAsia="黑体" w:cs="黑体"/>
          <w:sz w:val="32"/>
          <w:szCs w:val="32"/>
          <w:lang w:val="en-US"/>
        </w:rPr>
        <w:t>2019</w:t>
      </w:r>
      <w:r>
        <w:rPr>
          <w:rFonts w:hint="eastAsia" w:ascii="黑体" w:hAnsi="宋体" w:eastAsia="黑体" w:cs="黑体"/>
          <w:sz w:val="32"/>
          <w:szCs w:val="32"/>
        </w:rPr>
        <w:t>年度财政拨款收入支出决算总体情况说明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仿宋_GB2312" w:eastAsia="仿宋_GB2312" w:cs="仿宋_GB2312"/>
          <w:sz w:val="32"/>
          <w:szCs w:val="32"/>
          <w:lang w:val="en-US"/>
        </w:rPr>
        <w:t>2019</w:t>
      </w:r>
      <w:r>
        <w:rPr>
          <w:rFonts w:hint="default" w:ascii="仿宋_GB2312" w:eastAsia="仿宋_GB2312" w:cs="仿宋_GB2312"/>
          <w:sz w:val="32"/>
          <w:szCs w:val="32"/>
        </w:rPr>
        <w:t>年度财政拨款收、支总计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3,987.09</w:t>
      </w:r>
      <w:r>
        <w:rPr>
          <w:rFonts w:hint="default" w:ascii="仿宋_GB2312" w:eastAsia="仿宋_GB2312" w:cs="仿宋_GB2312"/>
          <w:sz w:val="32"/>
          <w:szCs w:val="32"/>
        </w:rPr>
        <w:t>万元。与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2018</w:t>
      </w:r>
      <w:r>
        <w:rPr>
          <w:rFonts w:hint="default" w:ascii="仿宋_GB2312" w:eastAsia="仿宋_GB2312" w:cs="仿宋_GB2312"/>
          <w:sz w:val="32"/>
          <w:szCs w:val="32"/>
        </w:rPr>
        <w:t>年相比，财政拨款收、支总计各增加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减少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lang w:val="en-US"/>
        </w:rPr>
        <w:t xml:space="preserve"> 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3,987.09</w:t>
      </w:r>
      <w:r>
        <w:rPr>
          <w:rFonts w:hint="default" w:ascii="仿宋_GB2312" w:eastAsia="仿宋_GB2312" w:cs="仿宋_GB2312"/>
          <w:sz w:val="32"/>
          <w:szCs w:val="32"/>
        </w:rPr>
        <w:t>万元，增长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下降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lang w:val="en-US"/>
        </w:rPr>
        <w:t xml:space="preserve"> 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0%</w:t>
      </w:r>
      <w:r>
        <w:rPr>
          <w:rFonts w:hint="default" w:ascii="仿宋_GB2312" w:eastAsia="仿宋_GB2312" w:cs="仿宋_GB2312"/>
          <w:sz w:val="32"/>
          <w:szCs w:val="32"/>
        </w:rPr>
        <w:t>。主要原因是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本单位是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2019年新成立单位</w:t>
      </w:r>
      <w:r>
        <w:rPr>
          <w:rFonts w:hint="default" w:asci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960"/>
        <w:rPr>
          <w:rFonts w:hint="default" w:ascii="仿宋_GB2312" w:eastAsia="仿宋_GB2312" w:cs="仿宋_GB2312"/>
          <w:sz w:val="32"/>
          <w:szCs w:val="32"/>
        </w:rPr>
      </w:pPr>
      <w:r>
        <w:rPr>
          <w:rFonts w:hint="default" w:ascii="仿宋_GB2312" w:eastAsia="仿宋_GB2312" w:cs="仿宋_GB2312"/>
          <w:sz w:val="32"/>
          <w:szCs w:val="32"/>
        </w:rPr>
        <w:t>图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4</w:t>
      </w:r>
      <w:r>
        <w:rPr>
          <w:rFonts w:hint="default" w:ascii="仿宋_GB2312" w:eastAsia="仿宋_GB2312" w:cs="仿宋_GB2312"/>
          <w:sz w:val="32"/>
          <w:szCs w:val="32"/>
        </w:rPr>
        <w:t>：财政拨款收、支决算总计变动情况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960"/>
      </w:pPr>
      <w:r>
        <w:drawing>
          <wp:inline distT="0" distB="0" distL="114300" distR="114300">
            <wp:extent cx="4591050" cy="2865120"/>
            <wp:effectExtent l="4445" t="4445" r="6985" b="10795"/>
            <wp:docPr id="1072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960"/>
        <w:rPr>
          <w:rFonts w:hint="default"/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jc w:val="both"/>
      </w:pPr>
      <w:r>
        <w:rPr>
          <w:rFonts w:hint="eastAsia" w:ascii="黑体" w:hAnsi="宋体" w:eastAsia="黑体" w:cs="黑体"/>
          <w:color w:val="auto"/>
          <w:sz w:val="32"/>
          <w:szCs w:val="32"/>
        </w:rPr>
        <w:t>五、</w:t>
      </w:r>
      <w:r>
        <w:rPr>
          <w:rFonts w:hint="eastAsia" w:ascii="黑体" w:hAnsi="宋体" w:eastAsia="黑体" w:cs="黑体"/>
          <w:sz w:val="32"/>
          <w:szCs w:val="32"/>
          <w:lang w:val="en-US"/>
        </w:rPr>
        <w:t>2019</w:t>
      </w:r>
      <w:r>
        <w:rPr>
          <w:rFonts w:hint="eastAsia" w:ascii="黑体" w:hAnsi="宋体" w:eastAsia="黑体" w:cs="黑体"/>
          <w:sz w:val="32"/>
          <w:szCs w:val="32"/>
        </w:rPr>
        <w:t>年度</w:t>
      </w:r>
      <w:r>
        <w:rPr>
          <w:rFonts w:hint="eastAsia" w:ascii="黑体" w:hAnsi="宋体" w:eastAsia="黑体" w:cs="黑体"/>
          <w:color w:val="auto"/>
          <w:sz w:val="32"/>
          <w:szCs w:val="32"/>
        </w:rPr>
        <w:t>一般公共预算财政拨款支出决算情况</w:t>
      </w:r>
      <w:r>
        <w:rPr>
          <w:rFonts w:hint="eastAsia" w:ascii="黑体" w:hAnsi="宋体" w:eastAsia="黑体" w:cs="黑体"/>
          <w:sz w:val="32"/>
          <w:szCs w:val="32"/>
        </w:rPr>
        <w:t>说明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一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财政拨款支出决算总体情况。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仿宋_GB2312" w:eastAsia="仿宋_GB2312" w:cs="仿宋_GB2312"/>
          <w:sz w:val="32"/>
          <w:szCs w:val="32"/>
          <w:lang w:val="en-US"/>
        </w:rPr>
        <w:t>2019</w:t>
      </w:r>
      <w:r>
        <w:rPr>
          <w:rFonts w:hint="default" w:ascii="仿宋_GB2312" w:eastAsia="仿宋_GB2312" w:cs="仿宋_GB2312"/>
          <w:sz w:val="32"/>
          <w:szCs w:val="32"/>
        </w:rPr>
        <w:t>年度财政拨款支出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3,987.09</w:t>
      </w:r>
      <w:r>
        <w:rPr>
          <w:rFonts w:hint="default" w:ascii="仿宋_GB2312" w:eastAsia="仿宋_GB2312" w:cs="仿宋_GB2312"/>
          <w:sz w:val="32"/>
          <w:szCs w:val="32"/>
        </w:rPr>
        <w:t>万元，占本年支出合计的</w:t>
      </w:r>
      <w:r>
        <w:rPr>
          <w:sz w:val="24"/>
          <w:szCs w:val="24"/>
        </w:rPr>
        <w:t>100.00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%</w:t>
      </w:r>
      <w:r>
        <w:rPr>
          <w:rFonts w:hint="default" w:ascii="仿宋_GB2312" w:eastAsia="仿宋_GB2312" w:cs="仿宋_GB2312"/>
          <w:sz w:val="32"/>
          <w:szCs w:val="32"/>
        </w:rPr>
        <w:t>。与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2018</w:t>
      </w:r>
      <w:r>
        <w:rPr>
          <w:rFonts w:hint="default" w:ascii="仿宋_GB2312" w:eastAsia="仿宋_GB2312" w:cs="仿宋_GB2312"/>
          <w:sz w:val="32"/>
          <w:szCs w:val="32"/>
        </w:rPr>
        <w:t>年相比，财政拨款支出增加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减少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lang w:val="en-US"/>
        </w:rPr>
        <w:t xml:space="preserve"> 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3,987.09</w:t>
      </w:r>
      <w:r>
        <w:rPr>
          <w:rFonts w:hint="default" w:asci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%</w:t>
      </w:r>
      <w:r>
        <w:rPr>
          <w:rFonts w:hint="default" w:ascii="仿宋_GB2312" w:eastAsia="仿宋_GB2312" w:cs="仿宋_GB2312"/>
          <w:sz w:val="32"/>
          <w:szCs w:val="32"/>
        </w:rPr>
        <w:t>。主要原因是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本单位是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2019年新成立单位</w:t>
      </w:r>
      <w:r>
        <w:rPr>
          <w:rFonts w:hint="default" w:asci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二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财政拨款支出决算结构情况。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仿宋_GB2312" w:eastAsia="仿宋_GB2312" w:cs="仿宋_GB2312"/>
          <w:sz w:val="32"/>
          <w:szCs w:val="32"/>
          <w:lang w:val="en-US"/>
        </w:rPr>
        <w:t>2019</w:t>
      </w:r>
      <w:r>
        <w:rPr>
          <w:rFonts w:hint="default" w:ascii="仿宋_GB2312" w:eastAsia="仿宋_GB2312" w:cs="仿宋_GB2312"/>
          <w:sz w:val="32"/>
          <w:szCs w:val="32"/>
        </w:rPr>
        <w:t>年度财政拨款支出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3,987.09</w:t>
      </w:r>
      <w:r>
        <w:rPr>
          <w:rFonts w:hint="default" w:ascii="仿宋_GB2312" w:eastAsia="仿宋_GB2312" w:cs="仿宋_GB2312"/>
          <w:sz w:val="32"/>
          <w:szCs w:val="32"/>
        </w:rPr>
        <w:t>万元，主要用于以下方面：一般公共服务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类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万元，占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0.00%</w:t>
      </w:r>
      <w:r>
        <w:rPr>
          <w:rFonts w:hint="default" w:ascii="仿宋_GB2312" w:eastAsia="仿宋_GB2312" w:cs="仿宋_GB2312"/>
          <w:sz w:val="32"/>
          <w:szCs w:val="32"/>
        </w:rPr>
        <w:t>；国防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类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万元，占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0.00%</w:t>
      </w:r>
      <w:r>
        <w:rPr>
          <w:rFonts w:hint="default" w:ascii="仿宋_GB2312" w:eastAsia="仿宋_GB2312" w:cs="仿宋_GB2312"/>
          <w:sz w:val="32"/>
          <w:szCs w:val="32"/>
        </w:rPr>
        <w:t>；公共安全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类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万元，占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0.00%</w:t>
      </w:r>
      <w:r>
        <w:rPr>
          <w:rFonts w:hint="default" w:ascii="仿宋_GB2312" w:eastAsia="仿宋_GB2312" w:cs="仿宋_GB2312"/>
          <w:sz w:val="32"/>
          <w:szCs w:val="32"/>
        </w:rPr>
        <w:t>；教育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类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2.82</w:t>
      </w:r>
      <w:r>
        <w:rPr>
          <w:rFonts w:hint="default" w:ascii="仿宋_GB2312" w:eastAsia="仿宋_GB2312" w:cs="仿宋_GB2312"/>
          <w:sz w:val="32"/>
          <w:szCs w:val="32"/>
        </w:rPr>
        <w:t>万元，占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0.07%</w:t>
      </w:r>
      <w:r>
        <w:rPr>
          <w:rFonts w:hint="default" w:ascii="仿宋_GB2312" w:eastAsia="仿宋_GB2312" w:cs="仿宋_GB2312"/>
          <w:sz w:val="32"/>
          <w:szCs w:val="32"/>
        </w:rPr>
        <w:t>；科学技术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类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万元，占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0.00%</w:t>
      </w:r>
      <w:r>
        <w:rPr>
          <w:rFonts w:hint="default" w:ascii="仿宋_GB2312" w:eastAsia="仿宋_GB2312" w:cs="仿宋_GB2312"/>
          <w:sz w:val="32"/>
          <w:szCs w:val="32"/>
        </w:rPr>
        <w:t>；文化旅游体育与传媒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类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万元，占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0.00%</w:t>
      </w:r>
      <w:r>
        <w:rPr>
          <w:rFonts w:hint="default" w:ascii="仿宋_GB2312" w:eastAsia="仿宋_GB2312" w:cs="仿宋_GB2312"/>
          <w:sz w:val="32"/>
          <w:szCs w:val="32"/>
        </w:rPr>
        <w:t>；社会保障和就业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类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3,967.81</w:t>
      </w:r>
      <w:r>
        <w:rPr>
          <w:rFonts w:hint="default" w:ascii="仿宋_GB2312" w:eastAsia="仿宋_GB2312" w:cs="仿宋_GB2312"/>
          <w:sz w:val="32"/>
          <w:szCs w:val="32"/>
        </w:rPr>
        <w:t>万元，占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99.52%</w:t>
      </w:r>
      <w:r>
        <w:rPr>
          <w:rFonts w:hint="default" w:ascii="仿宋_GB2312" w:eastAsia="仿宋_GB2312" w:cs="仿宋_GB2312"/>
          <w:sz w:val="32"/>
          <w:szCs w:val="32"/>
        </w:rPr>
        <w:t>；卫生健康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类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14.93</w:t>
      </w:r>
      <w:r>
        <w:rPr>
          <w:rFonts w:hint="default" w:ascii="仿宋_GB2312" w:eastAsia="仿宋_GB2312" w:cs="仿宋_GB2312"/>
          <w:sz w:val="32"/>
          <w:szCs w:val="32"/>
        </w:rPr>
        <w:t>万元，占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0.37%</w:t>
      </w:r>
      <w:r>
        <w:rPr>
          <w:rFonts w:hint="default" w:ascii="仿宋_GB2312" w:eastAsia="仿宋_GB2312" w:cs="仿宋_GB2312"/>
          <w:sz w:val="32"/>
          <w:szCs w:val="32"/>
        </w:rPr>
        <w:t>；节能环保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类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万元，占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0.00%</w:t>
      </w:r>
      <w:r>
        <w:rPr>
          <w:rFonts w:hint="default" w:ascii="仿宋_GB2312" w:eastAsia="仿宋_GB2312" w:cs="仿宋_GB2312"/>
          <w:sz w:val="32"/>
          <w:szCs w:val="32"/>
        </w:rPr>
        <w:t>；城乡社区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类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万元，占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0.00%</w:t>
      </w:r>
      <w:r>
        <w:rPr>
          <w:rFonts w:hint="default" w:ascii="仿宋_GB2312" w:eastAsia="仿宋_GB2312" w:cs="仿宋_GB2312"/>
          <w:sz w:val="32"/>
          <w:szCs w:val="32"/>
        </w:rPr>
        <w:t>；农林水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类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万元，占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0.00%</w:t>
      </w:r>
      <w:r>
        <w:rPr>
          <w:rFonts w:hint="default" w:ascii="仿宋_GB2312" w:eastAsia="仿宋_GB2312" w:cs="仿宋_GB2312"/>
          <w:sz w:val="32"/>
          <w:szCs w:val="32"/>
        </w:rPr>
        <w:t>；交通运输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类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万元，占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0.00%</w:t>
      </w:r>
      <w:r>
        <w:rPr>
          <w:rFonts w:hint="default" w:ascii="仿宋_GB2312" w:eastAsia="仿宋_GB2312" w:cs="仿宋_GB2312"/>
          <w:sz w:val="32"/>
          <w:szCs w:val="32"/>
        </w:rPr>
        <w:t>；资源勘探信息等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类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万元，占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0.00%</w:t>
      </w:r>
      <w:r>
        <w:rPr>
          <w:rFonts w:hint="default" w:ascii="仿宋_GB2312" w:eastAsia="仿宋_GB2312" w:cs="仿宋_GB2312"/>
          <w:sz w:val="32"/>
          <w:szCs w:val="32"/>
        </w:rPr>
        <w:t>；商业服务业等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类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万元，占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0.00%</w:t>
      </w:r>
      <w:r>
        <w:rPr>
          <w:rFonts w:hint="default" w:ascii="仿宋_GB2312" w:eastAsia="仿宋_GB2312" w:cs="仿宋_GB2312"/>
          <w:sz w:val="32"/>
          <w:szCs w:val="32"/>
        </w:rPr>
        <w:t>；金融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类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万元，占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0.00%</w:t>
      </w:r>
      <w:r>
        <w:rPr>
          <w:rFonts w:hint="default" w:ascii="仿宋_GB2312" w:eastAsia="仿宋_GB2312" w:cs="仿宋_GB2312"/>
          <w:sz w:val="32"/>
          <w:szCs w:val="32"/>
        </w:rPr>
        <w:t>；援助其他地区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类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万元，占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0.00%</w:t>
      </w:r>
      <w:r>
        <w:rPr>
          <w:rFonts w:hint="default" w:ascii="仿宋_GB2312" w:eastAsia="仿宋_GB2312" w:cs="仿宋_GB2312"/>
          <w:sz w:val="32"/>
          <w:szCs w:val="32"/>
        </w:rPr>
        <w:t>；自然资源海洋气象等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类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万元，占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0.00%</w:t>
      </w:r>
      <w:r>
        <w:rPr>
          <w:rFonts w:hint="default" w:ascii="仿宋_GB2312" w:eastAsia="仿宋_GB2312" w:cs="仿宋_GB2312"/>
          <w:sz w:val="32"/>
          <w:szCs w:val="32"/>
        </w:rPr>
        <w:t>；住房保障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类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1.53</w:t>
      </w:r>
      <w:r>
        <w:rPr>
          <w:rFonts w:hint="default" w:ascii="仿宋_GB2312" w:eastAsia="仿宋_GB2312" w:cs="仿宋_GB2312"/>
          <w:sz w:val="32"/>
          <w:szCs w:val="32"/>
        </w:rPr>
        <w:t>万元，占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0.04%</w:t>
      </w:r>
      <w:r>
        <w:rPr>
          <w:rFonts w:hint="default" w:ascii="仿宋_GB2312" w:eastAsia="仿宋_GB2312" w:cs="仿宋_GB2312"/>
          <w:sz w:val="32"/>
          <w:szCs w:val="32"/>
        </w:rPr>
        <w:t>；粮油物资储备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类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万元，占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0.00%</w:t>
      </w:r>
      <w:r>
        <w:rPr>
          <w:rFonts w:hint="default" w:ascii="仿宋_GB2312" w:eastAsia="仿宋_GB2312" w:cs="仿宋_GB2312"/>
          <w:sz w:val="32"/>
          <w:szCs w:val="32"/>
        </w:rPr>
        <w:t>；灾害防治及应急管理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类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万元，占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0.00%</w:t>
      </w:r>
      <w:r>
        <w:rPr>
          <w:rFonts w:hint="default" w:ascii="仿宋_GB2312" w:eastAsia="仿宋_GB2312" w:cs="仿宋_GB2312"/>
          <w:sz w:val="32"/>
          <w:szCs w:val="32"/>
        </w:rPr>
        <w:t>；其他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类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万元，占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0.00%</w:t>
      </w:r>
      <w:r>
        <w:rPr>
          <w:rFonts w:hint="default" w:asci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三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财政拨款支出决算具体情况。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eastAsia="仿宋_GB2312" w:cs="仿宋_GB2312"/>
          <w:sz w:val="32"/>
          <w:szCs w:val="32"/>
          <w:lang w:val="en-US"/>
        </w:rPr>
        <w:t>2019</w:t>
      </w:r>
      <w:r>
        <w:rPr>
          <w:rFonts w:hint="default" w:ascii="仿宋_GB2312" w:eastAsia="仿宋_GB2312" w:cs="仿宋_GB2312"/>
          <w:sz w:val="32"/>
          <w:szCs w:val="32"/>
        </w:rPr>
        <w:t>年一般公共预算财政拨款支出年初预算为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万元，支出决算为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3,987.09</w:t>
      </w:r>
      <w:r>
        <w:rPr>
          <w:rFonts w:hint="default" w:ascii="仿宋_GB2312" w:eastAsia="仿宋_GB2312" w:cs="仿宋_GB2312"/>
          <w:sz w:val="32"/>
          <w:szCs w:val="32"/>
        </w:rPr>
        <w:t>万元，完成年初预算的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0%</w:t>
      </w:r>
      <w:r>
        <w:rPr>
          <w:rFonts w:hint="default" w:ascii="仿宋_GB2312" w:eastAsia="仿宋_GB2312" w:cs="仿宋_GB2312"/>
          <w:sz w:val="32"/>
          <w:szCs w:val="32"/>
        </w:rPr>
        <w:t>。其中：基本支出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66.38</w:t>
      </w:r>
      <w:r>
        <w:rPr>
          <w:rFonts w:hint="default" w:ascii="仿宋_GB2312" w:eastAsia="仿宋_GB2312" w:cs="仿宋_GB2312"/>
          <w:sz w:val="32"/>
          <w:szCs w:val="32"/>
        </w:rPr>
        <w:t>万元，项目支出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3,920.71</w:t>
      </w:r>
      <w:r>
        <w:rPr>
          <w:rFonts w:hint="default" w:ascii="仿宋_GB2312" w:eastAsia="仿宋_GB2312" w:cs="仿宋_GB2312"/>
          <w:sz w:val="32"/>
          <w:szCs w:val="32"/>
        </w:rPr>
        <w:t>万元。项目支出主要用于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企业军转干节日慰问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387.9</w:t>
      </w:r>
      <w:r>
        <w:rPr>
          <w:rFonts w:hint="default" w:ascii="仿宋_GB2312" w:eastAsia="仿宋_GB2312" w:cs="仿宋_GB2312"/>
          <w:sz w:val="32"/>
          <w:szCs w:val="32"/>
        </w:rPr>
        <w:t>万元，主要成效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是帮助军转干部解决生活困难，进行慰问与补助</w:t>
      </w:r>
      <w:r>
        <w:rPr>
          <w:rFonts w:hint="default" w:ascii="仿宋_GB2312" w:eastAsia="仿宋_GB2312" w:cs="仿宋_GB2312"/>
          <w:sz w:val="32"/>
          <w:szCs w:val="32"/>
        </w:rPr>
        <w:t>；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三属抚恤补助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>9.9</w:t>
      </w:r>
      <w:r>
        <w:rPr>
          <w:rFonts w:hint="default" w:ascii="仿宋_GB2312" w:eastAsia="仿宋_GB2312" w:cs="仿宋_GB2312"/>
          <w:sz w:val="32"/>
          <w:szCs w:val="32"/>
        </w:rPr>
        <w:t>万元，主要成效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是对三属人员进行慰问</w:t>
      </w:r>
      <w:r>
        <w:rPr>
          <w:rFonts w:hint="default" w:ascii="仿宋_GB2312" w:eastAsia="仿宋_GB2312" w:cs="仿宋_GB2312"/>
          <w:sz w:val="32"/>
          <w:szCs w:val="32"/>
        </w:rPr>
        <w:t>；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义务兵家庭优待金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>1162.92</w:t>
      </w:r>
      <w:r>
        <w:rPr>
          <w:rFonts w:hint="default" w:ascii="仿宋_GB2312" w:eastAsia="仿宋_GB2312" w:cs="仿宋_GB2312"/>
          <w:sz w:val="32"/>
          <w:szCs w:val="32"/>
        </w:rPr>
        <w:t>万元，主要成效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是进一步规范义务兵家庭优待金，提高义务兵优待金水平；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其他优抚对象补助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>1342.82</w:t>
      </w:r>
      <w:r>
        <w:rPr>
          <w:rFonts w:hint="default" w:ascii="仿宋_GB2312" w:eastAsia="仿宋_GB2312" w:cs="仿宋_GB2312"/>
          <w:sz w:val="32"/>
          <w:szCs w:val="32"/>
        </w:rPr>
        <w:t>万元，主要成效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是</w:t>
      </w:r>
      <w:r>
        <w:rPr>
          <w:rFonts w:hint="default" w:eastAsia="仿宋_GB2312" w:cs="Times New Roman"/>
          <w:bCs/>
          <w:sz w:val="32"/>
          <w:szCs w:val="32"/>
          <w:highlight w:val="none"/>
          <w:u w:val="none"/>
          <w:lang w:val="en-US" w:eastAsia="zh-CN"/>
        </w:rPr>
        <w:t>贯彻落实上级有关退役军人医疗、疗养、养老等机构的规划政策和实施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士兵退役安置经费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>730.05</w:t>
      </w:r>
      <w:r>
        <w:rPr>
          <w:rFonts w:hint="default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，主要成效是</w:t>
      </w:r>
      <w:r>
        <w:rPr>
          <w:rFonts w:hint="default" w:eastAsia="仿宋_GB2312" w:cs="Times New Roman"/>
          <w:bCs/>
          <w:sz w:val="32"/>
          <w:szCs w:val="32"/>
          <w:highlight w:val="none"/>
          <w:u w:val="none"/>
          <w:lang w:val="en-US" w:eastAsia="zh-CN"/>
        </w:rPr>
        <w:t>维护军人合法权益，加强退役军人思想政治工作和服务保障体系建设</w:t>
      </w:r>
      <w:r>
        <w:rPr>
          <w:rFonts w:hint="eastAsia" w:eastAsia="仿宋_GB2312" w:cs="Times New Roman"/>
          <w:bCs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临聘人员及日常办公经费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>232.67</w:t>
      </w:r>
      <w:r>
        <w:rPr>
          <w:rFonts w:hint="default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，主要成效是保障临聘人员经费待遇，维持机关工作正常开展；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拥军优属双拥经费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>40.29</w:t>
      </w:r>
      <w:r>
        <w:rPr>
          <w:rFonts w:hint="default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，主要成效是</w:t>
      </w:r>
      <w:r>
        <w:rPr>
          <w:rFonts w:hint="default" w:eastAsia="仿宋_GB2312" w:cs="Times New Roman"/>
          <w:bCs/>
          <w:sz w:val="32"/>
          <w:szCs w:val="32"/>
          <w:highlight w:val="none"/>
          <w:u w:val="none"/>
          <w:lang w:val="en-US" w:eastAsia="zh-CN"/>
        </w:rPr>
        <w:t>协调各方力量更好为军人军属服务</w:t>
      </w:r>
      <w:r>
        <w:rPr>
          <w:rFonts w:hint="eastAsia" w:eastAsia="仿宋_GB2312" w:cs="Times New Roman"/>
          <w:bCs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eastAsia="仿宋_GB2312" w:cs="Times New Roman"/>
          <w:bCs/>
          <w:sz w:val="32"/>
          <w:szCs w:val="32"/>
          <w:highlight w:val="none"/>
          <w:u w:val="none"/>
          <w:lang w:val="en-US" w:eastAsia="zh-CN"/>
        </w:rPr>
        <w:t>让军人成为全社会尊崇的职业</w:t>
      </w:r>
      <w:r>
        <w:rPr>
          <w:rFonts w:hint="eastAsia" w:eastAsia="仿宋_GB2312" w:cs="Times New Roman"/>
          <w:bCs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优抚对象医疗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>14.16</w:t>
      </w:r>
      <w:r>
        <w:rPr>
          <w:rFonts w:hint="default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，主要成效是</w:t>
      </w:r>
      <w:r>
        <w:rPr>
          <w:rFonts w:hint="default" w:eastAsia="仿宋_GB2312" w:cs="Times New Roman"/>
          <w:bCs/>
          <w:sz w:val="32"/>
          <w:szCs w:val="32"/>
          <w:highlight w:val="none"/>
          <w:u w:val="none"/>
          <w:lang w:val="en-US" w:eastAsia="zh-CN"/>
        </w:rPr>
        <w:t>建立健全退役军人管理保障体系</w:t>
      </w:r>
      <w:r>
        <w:rPr>
          <w:rFonts w:hint="eastAsia" w:eastAsia="仿宋_GB2312" w:cs="Times New Roman"/>
          <w:bCs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一般公共预算财政拨款支出决算具体情况，按支出功能分类类级科目逐类分析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ascii="楷体_GB2312" w:eastAsia="楷体_GB2312" w:cs="楷体_GB2312"/>
          <w:sz w:val="32"/>
          <w:szCs w:val="32"/>
          <w:lang w:val="en-US"/>
        </w:rPr>
        <w:t>1.</w:t>
      </w:r>
      <w:r>
        <w:rPr>
          <w:rFonts w:hint="default" w:ascii="楷体_GB2312" w:eastAsia="楷体_GB2312" w:cs="楷体_GB2312"/>
          <w:sz w:val="32"/>
          <w:szCs w:val="32"/>
        </w:rPr>
        <w:t>一般公共服务支出</w:t>
      </w:r>
      <w:r>
        <w:rPr>
          <w:rFonts w:hint="default" w:ascii="楷体_GB2312" w:eastAsia="楷体_GB2312" w:cs="楷体_GB2312"/>
          <w:sz w:val="32"/>
          <w:szCs w:val="32"/>
          <w:lang w:val="en-US"/>
        </w:rPr>
        <w:t>(</w:t>
      </w:r>
      <w:r>
        <w:rPr>
          <w:rFonts w:hint="default" w:ascii="楷体_GB2312" w:eastAsia="楷体_GB2312" w:cs="楷体_GB2312"/>
          <w:sz w:val="32"/>
          <w:szCs w:val="32"/>
        </w:rPr>
        <w:t>类</w:t>
      </w:r>
      <w:r>
        <w:rPr>
          <w:rFonts w:hint="default" w:ascii="楷体_GB2312" w:eastAsia="楷体_GB2312" w:cs="楷体_GB2312"/>
          <w:sz w:val="32"/>
          <w:szCs w:val="32"/>
          <w:lang w:val="en-US"/>
        </w:rPr>
        <w:t>)</w:t>
      </w:r>
      <w:r>
        <w:rPr>
          <w:rFonts w:hint="default" w:ascii="楷体_GB2312" w:eastAsia="楷体_GB2312" w:cs="楷体_GB2312"/>
          <w:sz w:val="32"/>
          <w:szCs w:val="32"/>
        </w:rPr>
        <w:t>。</w:t>
      </w:r>
      <w:r>
        <w:rPr>
          <w:rFonts w:hint="default" w:ascii="仿宋_GB2312" w:eastAsia="仿宋_GB2312" w:cs="仿宋_GB2312"/>
          <w:sz w:val="32"/>
          <w:szCs w:val="32"/>
        </w:rPr>
        <w:t>年初预算为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万元，支出决算为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万元，完成年初预算的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0%</w:t>
      </w:r>
      <w:r>
        <w:rPr>
          <w:rFonts w:hint="default" w:ascii="仿宋_GB2312" w:eastAsia="仿宋_GB2312" w:cs="仿宋_GB2312"/>
          <w:sz w:val="32"/>
          <w:szCs w:val="32"/>
        </w:rPr>
        <w:t>，支出决算数大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小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于年初预算数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凡是年中有追加预算的或决算数低于年初预算数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95%</w:t>
      </w:r>
      <w:r>
        <w:rPr>
          <w:rFonts w:hint="default" w:ascii="仿宋_GB2312" w:eastAsia="仿宋_GB2312" w:cs="仿宋_GB2312"/>
          <w:sz w:val="32"/>
          <w:szCs w:val="32"/>
        </w:rPr>
        <w:t>的应作说明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的主要原因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无</w:t>
      </w:r>
      <w:r>
        <w:rPr>
          <w:rFonts w:hint="default" w:asci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jc w:val="both"/>
        <w:rPr>
          <w:sz w:val="32"/>
          <w:szCs w:val="32"/>
          <w:lang w:val="en-US"/>
        </w:rPr>
      </w:pPr>
      <w:r>
        <w:rPr>
          <w:rFonts w:hint="default" w:ascii="楷体_GB2312" w:eastAsia="楷体_GB2312" w:cs="楷体_GB2312"/>
          <w:color w:val="auto"/>
          <w:sz w:val="32"/>
          <w:szCs w:val="32"/>
          <w:lang w:val="en-US"/>
        </w:rPr>
        <w:t>2.</w:t>
      </w:r>
      <w:r>
        <w:rPr>
          <w:rFonts w:hint="default" w:ascii="楷体_GB2312" w:eastAsia="楷体_GB2312" w:cs="楷体_GB2312"/>
          <w:sz w:val="32"/>
          <w:szCs w:val="32"/>
        </w:rPr>
        <w:t>国防支出（类）。</w:t>
      </w:r>
      <w:r>
        <w:rPr>
          <w:sz w:val="32"/>
          <w:szCs w:val="32"/>
        </w:rPr>
        <w:t>年初预算为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万元，支出决算为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万元，完成年初预算的</w:t>
      </w:r>
      <w:r>
        <w:rPr>
          <w:sz w:val="32"/>
          <w:szCs w:val="32"/>
          <w:lang w:val="en-US"/>
        </w:rPr>
        <w:t>0%</w:t>
      </w:r>
      <w:r>
        <w:rPr>
          <w:sz w:val="32"/>
          <w:szCs w:val="32"/>
        </w:rPr>
        <w:t>，支出决算数大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小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于年初预算数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凡是年中有追加预算的或决算数低于年初预算数</w:t>
      </w:r>
      <w:r>
        <w:rPr>
          <w:sz w:val="32"/>
          <w:szCs w:val="32"/>
          <w:lang w:val="en-US"/>
        </w:rPr>
        <w:t>95%</w:t>
      </w:r>
      <w:r>
        <w:rPr>
          <w:sz w:val="32"/>
          <w:szCs w:val="32"/>
        </w:rPr>
        <w:t>的应作说明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的主要原因</w:t>
      </w:r>
      <w:r>
        <w:rPr>
          <w:rFonts w:hint="eastAsia"/>
          <w:sz w:val="32"/>
          <w:szCs w:val="32"/>
          <w:lang w:eastAsia="zh-CN"/>
        </w:rPr>
        <w:t>无</w:t>
      </w:r>
      <w:r>
        <w:rPr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jc w:val="both"/>
        <w:rPr>
          <w:sz w:val="32"/>
          <w:szCs w:val="32"/>
          <w:lang w:val="en-US"/>
        </w:rPr>
      </w:pPr>
      <w:r>
        <w:rPr>
          <w:rFonts w:hint="default" w:ascii="楷体_GB2312" w:eastAsia="楷体_GB2312" w:cs="楷体_GB2312"/>
          <w:color w:val="auto"/>
          <w:sz w:val="32"/>
          <w:szCs w:val="32"/>
          <w:lang w:val="en-US"/>
        </w:rPr>
        <w:t xml:space="preserve">3. </w:t>
      </w:r>
      <w:r>
        <w:rPr>
          <w:rFonts w:hint="default" w:ascii="楷体_GB2312" w:eastAsia="楷体_GB2312" w:cs="楷体_GB2312"/>
          <w:color w:val="auto"/>
          <w:sz w:val="32"/>
          <w:szCs w:val="32"/>
        </w:rPr>
        <w:t>公共安全支出（类）。</w:t>
      </w:r>
      <w:r>
        <w:rPr>
          <w:sz w:val="32"/>
          <w:szCs w:val="32"/>
        </w:rPr>
        <w:t>年初预算为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万元，支出决算为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万元，完成年初预算的</w:t>
      </w:r>
      <w:r>
        <w:rPr>
          <w:sz w:val="32"/>
          <w:szCs w:val="32"/>
          <w:lang w:val="en-US"/>
        </w:rPr>
        <w:t>0%</w:t>
      </w:r>
      <w:r>
        <w:rPr>
          <w:sz w:val="32"/>
          <w:szCs w:val="32"/>
        </w:rPr>
        <w:t>，支出决算数大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小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于年初预算数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凡是年中有追加预算的或决算数低于年初预算数</w:t>
      </w:r>
      <w:r>
        <w:rPr>
          <w:sz w:val="32"/>
          <w:szCs w:val="32"/>
          <w:lang w:val="en-US"/>
        </w:rPr>
        <w:t>95%</w:t>
      </w:r>
      <w:r>
        <w:rPr>
          <w:sz w:val="32"/>
          <w:szCs w:val="32"/>
        </w:rPr>
        <w:t>的应作说明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的主要原因</w:t>
      </w:r>
      <w:r>
        <w:rPr>
          <w:rFonts w:hint="eastAsia"/>
          <w:sz w:val="32"/>
          <w:szCs w:val="32"/>
          <w:lang w:eastAsia="zh-CN"/>
        </w:rPr>
        <w:t>无</w:t>
      </w:r>
      <w:r>
        <w:rPr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rPr>
          <w:sz w:val="32"/>
          <w:szCs w:val="32"/>
          <w:lang w:val="en-US"/>
        </w:rPr>
      </w:pPr>
      <w:r>
        <w:rPr>
          <w:rFonts w:hint="default" w:ascii="楷体_GB2312" w:eastAsia="楷体_GB2312" w:cs="楷体_GB2312"/>
          <w:color w:val="auto"/>
          <w:sz w:val="32"/>
          <w:szCs w:val="32"/>
          <w:lang w:val="en-US"/>
        </w:rPr>
        <w:t>4.</w:t>
      </w:r>
      <w:r>
        <w:rPr>
          <w:rFonts w:hint="default" w:ascii="楷体_GB2312" w:eastAsia="楷体_GB2312" w:cs="楷体_GB2312"/>
          <w:color w:val="auto"/>
          <w:sz w:val="32"/>
          <w:szCs w:val="32"/>
        </w:rPr>
        <w:t>教育支出（类）。</w:t>
      </w:r>
      <w:r>
        <w:rPr>
          <w:sz w:val="32"/>
          <w:szCs w:val="32"/>
        </w:rPr>
        <w:t>年初预算为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万元，支出决算为</w:t>
      </w:r>
      <w:r>
        <w:rPr>
          <w:sz w:val="32"/>
          <w:szCs w:val="32"/>
          <w:lang w:val="en-US"/>
        </w:rPr>
        <w:t>2.82</w:t>
      </w:r>
      <w:r>
        <w:rPr>
          <w:sz w:val="32"/>
          <w:szCs w:val="32"/>
        </w:rPr>
        <w:t>万元，完成年初预算的</w:t>
      </w:r>
      <w:r>
        <w:rPr>
          <w:sz w:val="32"/>
          <w:szCs w:val="32"/>
          <w:lang w:val="en-US"/>
        </w:rPr>
        <w:t>0%</w:t>
      </w:r>
      <w:r>
        <w:rPr>
          <w:sz w:val="32"/>
          <w:szCs w:val="32"/>
        </w:rPr>
        <w:t>，支出决算数大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小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于年初预算数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凡是年中有追加预算的或决算数低于年初预算数</w:t>
      </w:r>
      <w:r>
        <w:rPr>
          <w:sz w:val="32"/>
          <w:szCs w:val="32"/>
          <w:lang w:val="en-US"/>
        </w:rPr>
        <w:t>95%</w:t>
      </w:r>
      <w:r>
        <w:rPr>
          <w:sz w:val="32"/>
          <w:szCs w:val="32"/>
        </w:rPr>
        <w:t>的应作说明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的主要原因</w:t>
      </w:r>
      <w:r>
        <w:rPr>
          <w:rFonts w:hint="eastAsia"/>
          <w:sz w:val="32"/>
          <w:szCs w:val="32"/>
          <w:lang w:eastAsia="zh-CN"/>
        </w:rPr>
        <w:t>无</w:t>
      </w:r>
      <w:r>
        <w:rPr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rPr>
          <w:sz w:val="32"/>
          <w:szCs w:val="32"/>
          <w:lang w:val="en-US"/>
        </w:rPr>
      </w:pPr>
      <w:r>
        <w:rPr>
          <w:rFonts w:hint="default" w:ascii="楷体_GB2312" w:eastAsia="楷体_GB2312" w:cs="楷体_GB2312"/>
          <w:color w:val="auto"/>
          <w:sz w:val="32"/>
          <w:szCs w:val="32"/>
          <w:lang w:val="en-US"/>
        </w:rPr>
        <w:t>5.</w:t>
      </w:r>
      <w:r>
        <w:rPr>
          <w:rFonts w:hint="default" w:ascii="楷体_GB2312" w:eastAsia="楷体_GB2312" w:cs="楷体_GB2312"/>
          <w:color w:val="auto"/>
          <w:sz w:val="32"/>
          <w:szCs w:val="32"/>
        </w:rPr>
        <w:t>科学技术支出（类）。</w:t>
      </w:r>
      <w:r>
        <w:rPr>
          <w:sz w:val="32"/>
          <w:szCs w:val="32"/>
        </w:rPr>
        <w:t>年初预算为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万元，支出决算为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万元，完成年初预算的</w:t>
      </w:r>
      <w:r>
        <w:rPr>
          <w:sz w:val="32"/>
          <w:szCs w:val="32"/>
          <w:lang w:val="en-US"/>
        </w:rPr>
        <w:t>0%</w:t>
      </w:r>
      <w:r>
        <w:rPr>
          <w:sz w:val="32"/>
          <w:szCs w:val="32"/>
        </w:rPr>
        <w:t>，支出决算数大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小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于年初预算数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凡是年中有追加预算的或决算数低于年初预算数</w:t>
      </w:r>
      <w:r>
        <w:rPr>
          <w:sz w:val="32"/>
          <w:szCs w:val="32"/>
          <w:lang w:val="en-US"/>
        </w:rPr>
        <w:t>95%</w:t>
      </w:r>
      <w:r>
        <w:rPr>
          <w:sz w:val="32"/>
          <w:szCs w:val="32"/>
        </w:rPr>
        <w:t>的应作说明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的主要原因</w:t>
      </w:r>
      <w:r>
        <w:rPr>
          <w:rFonts w:hint="eastAsia"/>
          <w:sz w:val="32"/>
          <w:szCs w:val="32"/>
          <w:lang w:eastAsia="zh-CN"/>
        </w:rPr>
        <w:t>无</w:t>
      </w:r>
      <w:r>
        <w:rPr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rPr>
          <w:sz w:val="32"/>
          <w:szCs w:val="32"/>
          <w:lang w:val="en-US"/>
        </w:rPr>
      </w:pPr>
      <w:r>
        <w:rPr>
          <w:rFonts w:hint="default" w:ascii="楷体_GB2312" w:eastAsia="楷体_GB2312" w:cs="楷体_GB2312"/>
          <w:color w:val="auto"/>
          <w:sz w:val="32"/>
          <w:szCs w:val="32"/>
          <w:lang w:val="en-US"/>
        </w:rPr>
        <w:t>6.</w:t>
      </w:r>
      <w:r>
        <w:rPr>
          <w:rFonts w:hint="default" w:ascii="楷体_GB2312" w:eastAsia="楷体_GB2312" w:cs="楷体_GB2312"/>
          <w:color w:val="auto"/>
          <w:sz w:val="32"/>
          <w:szCs w:val="32"/>
        </w:rPr>
        <w:t>文化旅游体育与传媒支出（类）。</w:t>
      </w:r>
      <w:r>
        <w:rPr>
          <w:sz w:val="32"/>
          <w:szCs w:val="32"/>
        </w:rPr>
        <w:t>年初预算为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万元，支出决算为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万元，完成年初预算的</w:t>
      </w:r>
      <w:r>
        <w:rPr>
          <w:sz w:val="32"/>
          <w:szCs w:val="32"/>
          <w:lang w:val="en-US"/>
        </w:rPr>
        <w:t>0%</w:t>
      </w:r>
      <w:r>
        <w:rPr>
          <w:sz w:val="32"/>
          <w:szCs w:val="32"/>
        </w:rPr>
        <w:t>，支出决算数大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小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于年初预算数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凡是年中有追加预算的或决算数低于年初预算数</w:t>
      </w:r>
      <w:r>
        <w:rPr>
          <w:sz w:val="32"/>
          <w:szCs w:val="32"/>
          <w:lang w:val="en-US"/>
        </w:rPr>
        <w:t>95%</w:t>
      </w:r>
      <w:r>
        <w:rPr>
          <w:sz w:val="32"/>
          <w:szCs w:val="32"/>
        </w:rPr>
        <w:t>的应作说明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的主要原因</w:t>
      </w:r>
      <w:r>
        <w:rPr>
          <w:rFonts w:hint="eastAsia"/>
          <w:sz w:val="32"/>
          <w:szCs w:val="32"/>
          <w:lang w:eastAsia="zh-CN"/>
        </w:rPr>
        <w:t>无</w:t>
      </w:r>
      <w:r>
        <w:rPr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rPr>
          <w:sz w:val="32"/>
          <w:szCs w:val="32"/>
          <w:lang w:val="en-US"/>
        </w:rPr>
      </w:pPr>
      <w:r>
        <w:rPr>
          <w:rFonts w:hint="default" w:ascii="楷体_GB2312" w:eastAsia="楷体_GB2312" w:cs="楷体_GB2312"/>
          <w:color w:val="auto"/>
          <w:sz w:val="32"/>
          <w:szCs w:val="32"/>
          <w:lang w:val="en-US"/>
        </w:rPr>
        <w:t>7.</w:t>
      </w:r>
      <w:r>
        <w:rPr>
          <w:rFonts w:hint="default" w:ascii="楷体_GB2312" w:eastAsia="楷体_GB2312" w:cs="楷体_GB2312"/>
          <w:color w:val="auto"/>
          <w:sz w:val="32"/>
          <w:szCs w:val="32"/>
        </w:rPr>
        <w:t>社会保障和就业支出（类）。</w:t>
      </w:r>
      <w:r>
        <w:rPr>
          <w:sz w:val="32"/>
          <w:szCs w:val="32"/>
        </w:rPr>
        <w:t>年初预算为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万元，支出决算为</w:t>
      </w:r>
      <w:r>
        <w:rPr>
          <w:sz w:val="32"/>
          <w:szCs w:val="32"/>
          <w:lang w:val="en-US"/>
        </w:rPr>
        <w:t>3,967.81</w:t>
      </w:r>
      <w:r>
        <w:rPr>
          <w:sz w:val="32"/>
          <w:szCs w:val="32"/>
        </w:rPr>
        <w:t>万元，完成年初预算的</w:t>
      </w:r>
      <w:r>
        <w:rPr>
          <w:sz w:val="32"/>
          <w:szCs w:val="32"/>
          <w:lang w:val="en-US"/>
        </w:rPr>
        <w:t>0%</w:t>
      </w:r>
      <w:r>
        <w:rPr>
          <w:sz w:val="32"/>
          <w:szCs w:val="32"/>
        </w:rPr>
        <w:t>，支出决算数大于年初预算数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凡是年中有追加预算的或决算数低于年初预算数</w:t>
      </w:r>
      <w:r>
        <w:rPr>
          <w:sz w:val="32"/>
          <w:szCs w:val="32"/>
          <w:lang w:val="en-US"/>
        </w:rPr>
        <w:t>95%</w:t>
      </w:r>
      <w:r>
        <w:rPr>
          <w:sz w:val="32"/>
          <w:szCs w:val="32"/>
        </w:rPr>
        <w:t>的应作说明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的主要原因</w:t>
      </w:r>
      <w:r>
        <w:rPr>
          <w:rFonts w:hint="eastAsia"/>
          <w:sz w:val="32"/>
          <w:szCs w:val="32"/>
          <w:lang w:eastAsia="zh-CN"/>
        </w:rPr>
        <w:t>：本单位是</w:t>
      </w:r>
      <w:r>
        <w:rPr>
          <w:rFonts w:hint="eastAsia"/>
          <w:sz w:val="32"/>
          <w:szCs w:val="32"/>
          <w:lang w:val="en-US" w:eastAsia="zh-CN"/>
        </w:rPr>
        <w:t>2019年新成立单位，无2019年年初预算数</w:t>
      </w:r>
      <w:r>
        <w:rPr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rPr>
          <w:sz w:val="32"/>
          <w:szCs w:val="32"/>
          <w:lang w:val="en-US"/>
        </w:rPr>
      </w:pPr>
      <w:r>
        <w:rPr>
          <w:rFonts w:hint="default" w:ascii="楷体_GB2312" w:eastAsia="楷体_GB2312" w:cs="楷体_GB2312"/>
          <w:color w:val="auto"/>
          <w:sz w:val="32"/>
          <w:szCs w:val="32"/>
          <w:lang w:val="en-US"/>
        </w:rPr>
        <w:t>8.</w:t>
      </w:r>
      <w:r>
        <w:rPr>
          <w:rFonts w:hint="default" w:ascii="楷体_GB2312" w:eastAsia="楷体_GB2312" w:cs="楷体_GB2312"/>
          <w:color w:val="auto"/>
          <w:sz w:val="32"/>
          <w:szCs w:val="32"/>
        </w:rPr>
        <w:t>卫生健康支出（类）。</w:t>
      </w:r>
      <w:r>
        <w:rPr>
          <w:sz w:val="32"/>
          <w:szCs w:val="32"/>
        </w:rPr>
        <w:t>年初预算为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万元，支出决算为</w:t>
      </w:r>
      <w:r>
        <w:rPr>
          <w:sz w:val="32"/>
          <w:szCs w:val="32"/>
          <w:lang w:val="en-US"/>
        </w:rPr>
        <w:t>14.93</w:t>
      </w:r>
      <w:r>
        <w:rPr>
          <w:sz w:val="32"/>
          <w:szCs w:val="32"/>
        </w:rPr>
        <w:t>万元，完成年初预算的</w:t>
      </w:r>
      <w:r>
        <w:rPr>
          <w:sz w:val="32"/>
          <w:szCs w:val="32"/>
          <w:lang w:val="en-US"/>
        </w:rPr>
        <w:t>0%</w:t>
      </w:r>
      <w:r>
        <w:rPr>
          <w:sz w:val="32"/>
          <w:szCs w:val="32"/>
        </w:rPr>
        <w:t>，支出决算数大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小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于年初预算数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凡是年中有追加预算的或决算数低于年初预算数</w:t>
      </w:r>
      <w:r>
        <w:rPr>
          <w:sz w:val="32"/>
          <w:szCs w:val="32"/>
          <w:lang w:val="en-US"/>
        </w:rPr>
        <w:t>95%</w:t>
      </w:r>
      <w:r>
        <w:rPr>
          <w:sz w:val="32"/>
          <w:szCs w:val="32"/>
        </w:rPr>
        <w:t>的应作说明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的主要原因</w:t>
      </w:r>
      <w:r>
        <w:rPr>
          <w:rFonts w:hint="eastAsia"/>
          <w:sz w:val="32"/>
          <w:szCs w:val="32"/>
          <w:lang w:eastAsia="zh-CN"/>
        </w:rPr>
        <w:t>：本单位是</w:t>
      </w:r>
      <w:r>
        <w:rPr>
          <w:rFonts w:hint="eastAsia"/>
          <w:sz w:val="32"/>
          <w:szCs w:val="32"/>
          <w:lang w:val="en-US" w:eastAsia="zh-CN"/>
        </w:rPr>
        <w:t>2019年新成立单位，无2019年年初预算数</w:t>
      </w:r>
      <w:r>
        <w:rPr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rPr>
          <w:rFonts w:hint="default" w:ascii="楷体_GB2312" w:eastAsia="楷体_GB2312" w:cs="楷体_GB2312"/>
          <w:color w:val="auto"/>
          <w:sz w:val="32"/>
          <w:szCs w:val="32"/>
          <w:lang w:val="en-US"/>
        </w:rPr>
      </w:pPr>
      <w:r>
        <w:rPr>
          <w:rFonts w:hint="default" w:ascii="楷体_GB2312" w:eastAsia="楷体_GB2312" w:cs="楷体_GB2312"/>
          <w:color w:val="auto"/>
          <w:sz w:val="32"/>
          <w:szCs w:val="32"/>
          <w:lang w:val="en-US"/>
        </w:rPr>
        <w:t>9.</w:t>
      </w:r>
      <w:r>
        <w:rPr>
          <w:rFonts w:hint="default" w:ascii="楷体_GB2312" w:eastAsia="楷体_GB2312" w:cs="楷体_GB2312"/>
          <w:color w:val="auto"/>
          <w:sz w:val="32"/>
          <w:szCs w:val="32"/>
        </w:rPr>
        <w:t>节能环保支出（类）。</w:t>
      </w:r>
      <w:r>
        <w:rPr>
          <w:sz w:val="32"/>
          <w:szCs w:val="32"/>
        </w:rPr>
        <w:t>年初预算为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万元，支出决算为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万元，完成年初预算的</w:t>
      </w:r>
      <w:r>
        <w:rPr>
          <w:sz w:val="32"/>
          <w:szCs w:val="32"/>
          <w:lang w:val="en-US"/>
        </w:rPr>
        <w:t>0%</w:t>
      </w:r>
      <w:r>
        <w:rPr>
          <w:sz w:val="32"/>
          <w:szCs w:val="32"/>
        </w:rPr>
        <w:t>，支出决算数大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小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于年初预算数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凡是年中有追加预算的或决算数低于年初预算数</w:t>
      </w:r>
      <w:r>
        <w:rPr>
          <w:sz w:val="32"/>
          <w:szCs w:val="32"/>
          <w:lang w:val="en-US"/>
        </w:rPr>
        <w:t>95%</w:t>
      </w:r>
      <w:r>
        <w:rPr>
          <w:sz w:val="32"/>
          <w:szCs w:val="32"/>
        </w:rPr>
        <w:t>的应作说明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的主要原因</w:t>
      </w:r>
      <w:r>
        <w:rPr>
          <w:rFonts w:hint="eastAsia"/>
          <w:sz w:val="32"/>
          <w:szCs w:val="32"/>
          <w:lang w:eastAsia="zh-CN"/>
        </w:rPr>
        <w:t>无</w:t>
      </w:r>
      <w:r>
        <w:rPr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rPr>
          <w:rFonts w:hint="default" w:ascii="楷体_GB2312" w:eastAsia="楷体_GB2312" w:cs="楷体_GB2312"/>
          <w:color w:val="auto"/>
          <w:sz w:val="32"/>
          <w:szCs w:val="32"/>
          <w:lang w:val="en-US"/>
        </w:rPr>
      </w:pPr>
      <w:r>
        <w:rPr>
          <w:rFonts w:hint="default" w:ascii="楷体_GB2312" w:eastAsia="楷体_GB2312" w:cs="楷体_GB2312"/>
          <w:color w:val="auto"/>
          <w:sz w:val="32"/>
          <w:szCs w:val="32"/>
          <w:lang w:val="en-US"/>
        </w:rPr>
        <w:t>10.</w:t>
      </w:r>
      <w:r>
        <w:rPr>
          <w:rFonts w:hint="default" w:ascii="楷体_GB2312" w:eastAsia="楷体_GB2312" w:cs="楷体_GB2312"/>
          <w:color w:val="auto"/>
          <w:sz w:val="32"/>
          <w:szCs w:val="32"/>
        </w:rPr>
        <w:t>城乡社区支出（类）。</w:t>
      </w:r>
      <w:r>
        <w:rPr>
          <w:sz w:val="32"/>
          <w:szCs w:val="32"/>
        </w:rPr>
        <w:t>年初预算为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万元，支出决算为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万元，完成年初预算的</w:t>
      </w:r>
      <w:r>
        <w:rPr>
          <w:sz w:val="32"/>
          <w:szCs w:val="32"/>
          <w:lang w:val="en-US"/>
        </w:rPr>
        <w:t>0%</w:t>
      </w:r>
      <w:r>
        <w:rPr>
          <w:sz w:val="32"/>
          <w:szCs w:val="32"/>
        </w:rPr>
        <w:t>，支出决算数大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小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于年初预算数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凡是年中有追加预算的或决算数低于年初预算数</w:t>
      </w:r>
      <w:r>
        <w:rPr>
          <w:sz w:val="32"/>
          <w:szCs w:val="32"/>
          <w:lang w:val="en-US"/>
        </w:rPr>
        <w:t>95%</w:t>
      </w:r>
      <w:r>
        <w:rPr>
          <w:sz w:val="32"/>
          <w:szCs w:val="32"/>
        </w:rPr>
        <w:t>的应作说明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的主要原因一是</w:t>
      </w:r>
      <w:r>
        <w:rPr>
          <w:rFonts w:hint="eastAsia"/>
          <w:sz w:val="32"/>
          <w:szCs w:val="32"/>
          <w:lang w:eastAsia="zh-CN"/>
        </w:rPr>
        <w:t>无</w:t>
      </w:r>
      <w:r>
        <w:rPr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rPr>
          <w:rFonts w:hint="default" w:ascii="楷体_GB2312" w:eastAsia="楷体_GB2312" w:cs="楷体_GB2312"/>
          <w:color w:val="auto"/>
          <w:sz w:val="32"/>
          <w:szCs w:val="32"/>
          <w:lang w:val="en-US"/>
        </w:rPr>
      </w:pPr>
      <w:r>
        <w:rPr>
          <w:rFonts w:hint="default" w:ascii="楷体_GB2312" w:eastAsia="楷体_GB2312" w:cs="楷体_GB2312"/>
          <w:color w:val="auto"/>
          <w:sz w:val="32"/>
          <w:szCs w:val="32"/>
          <w:lang w:val="en-US"/>
        </w:rPr>
        <w:t>11.</w:t>
      </w:r>
      <w:r>
        <w:rPr>
          <w:rFonts w:hint="default" w:ascii="楷体_GB2312" w:eastAsia="楷体_GB2312" w:cs="楷体_GB2312"/>
          <w:color w:val="auto"/>
          <w:sz w:val="32"/>
          <w:szCs w:val="32"/>
        </w:rPr>
        <w:t>农林水支出（类）。</w:t>
      </w:r>
      <w:r>
        <w:rPr>
          <w:sz w:val="32"/>
          <w:szCs w:val="32"/>
        </w:rPr>
        <w:t>年初预算为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万元，支出决算为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万元，完成年初预算的</w:t>
      </w:r>
      <w:r>
        <w:rPr>
          <w:sz w:val="32"/>
          <w:szCs w:val="32"/>
          <w:lang w:val="en-US"/>
        </w:rPr>
        <w:t>0%</w:t>
      </w:r>
      <w:r>
        <w:rPr>
          <w:sz w:val="32"/>
          <w:szCs w:val="32"/>
        </w:rPr>
        <w:t>，支出决算数大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小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于年初预算数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凡是年中有追加预算的或决算数低于年初预算数</w:t>
      </w:r>
      <w:r>
        <w:rPr>
          <w:sz w:val="32"/>
          <w:szCs w:val="32"/>
          <w:lang w:val="en-US"/>
        </w:rPr>
        <w:t>95%</w:t>
      </w:r>
      <w:r>
        <w:rPr>
          <w:sz w:val="32"/>
          <w:szCs w:val="32"/>
        </w:rPr>
        <w:t>的应作说明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的主要原因</w:t>
      </w:r>
      <w:r>
        <w:rPr>
          <w:rFonts w:hint="eastAsia"/>
          <w:sz w:val="32"/>
          <w:szCs w:val="32"/>
          <w:lang w:eastAsia="zh-CN"/>
        </w:rPr>
        <w:t>无</w:t>
      </w:r>
      <w:r>
        <w:rPr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rPr>
          <w:sz w:val="32"/>
          <w:szCs w:val="32"/>
          <w:lang w:val="en-US"/>
        </w:rPr>
      </w:pPr>
      <w:r>
        <w:rPr>
          <w:rFonts w:hint="default" w:ascii="楷体_GB2312" w:eastAsia="楷体_GB2312" w:cs="楷体_GB2312"/>
          <w:color w:val="auto"/>
          <w:sz w:val="32"/>
          <w:szCs w:val="32"/>
          <w:lang w:val="en-US"/>
        </w:rPr>
        <w:t>12.</w:t>
      </w:r>
      <w:r>
        <w:rPr>
          <w:rFonts w:hint="default" w:ascii="楷体_GB2312" w:eastAsia="楷体_GB2312" w:cs="楷体_GB2312"/>
          <w:color w:val="auto"/>
          <w:sz w:val="32"/>
          <w:szCs w:val="32"/>
        </w:rPr>
        <w:t>交通运输支出（类）。</w:t>
      </w:r>
      <w:r>
        <w:rPr>
          <w:sz w:val="32"/>
          <w:szCs w:val="32"/>
        </w:rPr>
        <w:t>年初预算为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万元，支出决算为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万元，完成年初预算的</w:t>
      </w:r>
      <w:r>
        <w:rPr>
          <w:sz w:val="32"/>
          <w:szCs w:val="32"/>
          <w:lang w:val="en-US"/>
        </w:rPr>
        <w:t>0%</w:t>
      </w:r>
      <w:r>
        <w:rPr>
          <w:sz w:val="32"/>
          <w:szCs w:val="32"/>
        </w:rPr>
        <w:t>，支出决算数大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小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于年初预算数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凡是年中有追加预算的或决算数低于年初预算数</w:t>
      </w:r>
      <w:r>
        <w:rPr>
          <w:sz w:val="32"/>
          <w:szCs w:val="32"/>
          <w:lang w:val="en-US"/>
        </w:rPr>
        <w:t>95%</w:t>
      </w:r>
      <w:r>
        <w:rPr>
          <w:sz w:val="32"/>
          <w:szCs w:val="32"/>
        </w:rPr>
        <w:t>的应作说明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的主要原因</w:t>
      </w:r>
      <w:r>
        <w:rPr>
          <w:rFonts w:hint="eastAsia"/>
          <w:sz w:val="32"/>
          <w:szCs w:val="32"/>
          <w:lang w:eastAsia="zh-CN"/>
        </w:rPr>
        <w:t>无</w:t>
      </w:r>
      <w:r>
        <w:rPr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rPr>
          <w:rFonts w:hint="default" w:ascii="楷体_GB2312" w:eastAsia="楷体_GB2312" w:cs="楷体_GB2312"/>
          <w:color w:val="auto"/>
          <w:sz w:val="32"/>
          <w:szCs w:val="32"/>
          <w:lang w:val="en-US"/>
        </w:rPr>
      </w:pPr>
      <w:r>
        <w:rPr>
          <w:rFonts w:hint="default" w:ascii="楷体_GB2312" w:eastAsia="楷体_GB2312" w:cs="楷体_GB2312"/>
          <w:color w:val="auto"/>
          <w:sz w:val="32"/>
          <w:szCs w:val="32"/>
          <w:lang w:val="en-US"/>
        </w:rPr>
        <w:t>13.</w:t>
      </w:r>
      <w:r>
        <w:rPr>
          <w:rFonts w:hint="default" w:ascii="楷体_GB2312" w:eastAsia="楷体_GB2312" w:cs="楷体_GB2312"/>
          <w:color w:val="auto"/>
          <w:sz w:val="32"/>
          <w:szCs w:val="32"/>
        </w:rPr>
        <w:t>资源勘探信息等支出（类）。</w:t>
      </w:r>
      <w:r>
        <w:rPr>
          <w:sz w:val="32"/>
          <w:szCs w:val="32"/>
        </w:rPr>
        <w:t>年初预算为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万元，支出决算为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万元，完成年初预算的</w:t>
      </w:r>
      <w:r>
        <w:rPr>
          <w:sz w:val="32"/>
          <w:szCs w:val="32"/>
          <w:lang w:val="en-US"/>
        </w:rPr>
        <w:t>0%</w:t>
      </w:r>
      <w:r>
        <w:rPr>
          <w:sz w:val="32"/>
          <w:szCs w:val="32"/>
        </w:rPr>
        <w:t>，支出决算数大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小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于年初预算数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凡是年中有追加预算的或决算数低于年初预算数</w:t>
      </w:r>
      <w:r>
        <w:rPr>
          <w:sz w:val="32"/>
          <w:szCs w:val="32"/>
          <w:lang w:val="en-US"/>
        </w:rPr>
        <w:t>95%</w:t>
      </w:r>
      <w:r>
        <w:rPr>
          <w:sz w:val="32"/>
          <w:szCs w:val="32"/>
        </w:rPr>
        <w:t>的应作说明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的主要原因</w:t>
      </w:r>
      <w:r>
        <w:rPr>
          <w:rFonts w:hint="eastAsia"/>
          <w:sz w:val="32"/>
          <w:szCs w:val="32"/>
          <w:lang w:eastAsia="zh-CN"/>
        </w:rPr>
        <w:t>无</w:t>
      </w:r>
      <w:r>
        <w:rPr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rPr>
          <w:sz w:val="32"/>
          <w:szCs w:val="32"/>
          <w:lang w:val="en-US"/>
        </w:rPr>
      </w:pPr>
      <w:r>
        <w:rPr>
          <w:rFonts w:hint="default" w:ascii="楷体_GB2312" w:eastAsia="楷体_GB2312" w:cs="楷体_GB2312"/>
          <w:color w:val="auto"/>
          <w:sz w:val="32"/>
          <w:szCs w:val="32"/>
          <w:lang w:val="en-US"/>
        </w:rPr>
        <w:t>14.</w:t>
      </w:r>
      <w:r>
        <w:rPr>
          <w:rFonts w:hint="default" w:ascii="楷体_GB2312" w:eastAsia="楷体_GB2312" w:cs="楷体_GB2312"/>
          <w:color w:val="auto"/>
          <w:sz w:val="32"/>
          <w:szCs w:val="32"/>
        </w:rPr>
        <w:t>商业服务业等支出（类）。</w:t>
      </w:r>
      <w:r>
        <w:rPr>
          <w:sz w:val="32"/>
          <w:szCs w:val="32"/>
        </w:rPr>
        <w:t>年初预算为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万元，支出决算为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万元，完成年初预算的</w:t>
      </w:r>
      <w:r>
        <w:rPr>
          <w:sz w:val="32"/>
          <w:szCs w:val="32"/>
          <w:lang w:val="en-US"/>
        </w:rPr>
        <w:t>0%</w:t>
      </w:r>
      <w:r>
        <w:rPr>
          <w:sz w:val="32"/>
          <w:szCs w:val="32"/>
        </w:rPr>
        <w:t>，支出决算数大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小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于年初预算数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凡是年中有追加预算的或决算数低于年初预算数</w:t>
      </w:r>
      <w:r>
        <w:rPr>
          <w:sz w:val="32"/>
          <w:szCs w:val="32"/>
          <w:lang w:val="en-US"/>
        </w:rPr>
        <w:t>95%</w:t>
      </w:r>
      <w:r>
        <w:rPr>
          <w:sz w:val="32"/>
          <w:szCs w:val="32"/>
        </w:rPr>
        <w:t>的应作说明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的主要原因</w:t>
      </w:r>
      <w:r>
        <w:rPr>
          <w:rFonts w:hint="eastAsia"/>
          <w:sz w:val="32"/>
          <w:szCs w:val="32"/>
          <w:lang w:eastAsia="zh-CN"/>
        </w:rPr>
        <w:t>无</w:t>
      </w:r>
      <w:r>
        <w:rPr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rPr>
          <w:rFonts w:hint="default" w:ascii="楷体_GB2312" w:eastAsia="楷体_GB2312" w:cs="楷体_GB2312"/>
          <w:color w:val="auto"/>
          <w:sz w:val="32"/>
          <w:szCs w:val="32"/>
          <w:lang w:val="en-US"/>
        </w:rPr>
      </w:pPr>
      <w:r>
        <w:rPr>
          <w:rFonts w:hint="default" w:ascii="楷体_GB2312" w:eastAsia="楷体_GB2312" w:cs="楷体_GB2312"/>
          <w:color w:val="auto"/>
          <w:sz w:val="32"/>
          <w:szCs w:val="32"/>
          <w:lang w:val="en-US"/>
        </w:rPr>
        <w:t>15.</w:t>
      </w:r>
      <w:r>
        <w:rPr>
          <w:rFonts w:hint="default" w:ascii="楷体_GB2312" w:eastAsia="楷体_GB2312" w:cs="楷体_GB2312"/>
          <w:color w:val="auto"/>
          <w:sz w:val="32"/>
          <w:szCs w:val="32"/>
        </w:rPr>
        <w:t>金融支出（类）。</w:t>
      </w:r>
      <w:r>
        <w:rPr>
          <w:sz w:val="32"/>
          <w:szCs w:val="32"/>
        </w:rPr>
        <w:t>年初预算为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万元，支出决算为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万元，完成年初预算的</w:t>
      </w:r>
      <w:r>
        <w:rPr>
          <w:sz w:val="32"/>
          <w:szCs w:val="32"/>
          <w:lang w:val="en-US"/>
        </w:rPr>
        <w:t>0%</w:t>
      </w:r>
      <w:r>
        <w:rPr>
          <w:sz w:val="32"/>
          <w:szCs w:val="32"/>
        </w:rPr>
        <w:t>，支出决算数大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小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于年初预算数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凡是年中有追加预算的或决算数低于年初预算数</w:t>
      </w:r>
      <w:r>
        <w:rPr>
          <w:sz w:val="32"/>
          <w:szCs w:val="32"/>
          <w:lang w:val="en-US"/>
        </w:rPr>
        <w:t>95%</w:t>
      </w:r>
      <w:r>
        <w:rPr>
          <w:sz w:val="32"/>
          <w:szCs w:val="32"/>
        </w:rPr>
        <w:t>的应作说明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的主要原因</w:t>
      </w:r>
      <w:r>
        <w:rPr>
          <w:rFonts w:hint="eastAsia"/>
          <w:sz w:val="32"/>
          <w:szCs w:val="32"/>
          <w:lang w:eastAsia="zh-CN"/>
        </w:rPr>
        <w:t>无</w:t>
      </w:r>
      <w:r>
        <w:rPr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rPr>
          <w:sz w:val="32"/>
          <w:szCs w:val="32"/>
          <w:lang w:val="en-US"/>
        </w:rPr>
      </w:pPr>
      <w:r>
        <w:rPr>
          <w:rFonts w:hint="default" w:ascii="楷体_GB2312" w:eastAsia="楷体_GB2312" w:cs="楷体_GB2312"/>
          <w:color w:val="auto"/>
          <w:sz w:val="32"/>
          <w:szCs w:val="32"/>
          <w:lang w:val="en-US"/>
        </w:rPr>
        <w:t>16.</w:t>
      </w:r>
      <w:r>
        <w:rPr>
          <w:rFonts w:hint="default" w:ascii="楷体_GB2312" w:eastAsia="楷体_GB2312" w:cs="楷体_GB2312"/>
          <w:color w:val="auto"/>
          <w:sz w:val="32"/>
          <w:szCs w:val="32"/>
        </w:rPr>
        <w:t>援助其他地区支出（类）。</w:t>
      </w:r>
      <w:r>
        <w:rPr>
          <w:sz w:val="32"/>
          <w:szCs w:val="32"/>
        </w:rPr>
        <w:t>年初预算为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万元，支出决算为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万元，完成年初预算的</w:t>
      </w:r>
      <w:r>
        <w:rPr>
          <w:sz w:val="32"/>
          <w:szCs w:val="32"/>
          <w:lang w:val="en-US"/>
        </w:rPr>
        <w:t>0%</w:t>
      </w:r>
      <w:r>
        <w:rPr>
          <w:sz w:val="32"/>
          <w:szCs w:val="32"/>
        </w:rPr>
        <w:t>，支出决算数大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小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于年初预算数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凡是年中有追加预算的或决算数低于年初预算数</w:t>
      </w:r>
      <w:r>
        <w:rPr>
          <w:sz w:val="32"/>
          <w:szCs w:val="32"/>
          <w:lang w:val="en-US"/>
        </w:rPr>
        <w:t>95%</w:t>
      </w:r>
      <w:r>
        <w:rPr>
          <w:sz w:val="32"/>
          <w:szCs w:val="32"/>
        </w:rPr>
        <w:t>的应作说明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的主要原因</w:t>
      </w:r>
      <w:r>
        <w:rPr>
          <w:rFonts w:hint="eastAsia"/>
          <w:sz w:val="32"/>
          <w:szCs w:val="32"/>
          <w:lang w:eastAsia="zh-CN"/>
        </w:rPr>
        <w:t>无</w:t>
      </w:r>
      <w:r>
        <w:rPr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rPr>
          <w:rFonts w:hint="default" w:ascii="楷体_GB2312" w:eastAsia="楷体_GB2312" w:cs="楷体_GB2312"/>
          <w:color w:val="auto"/>
          <w:sz w:val="32"/>
          <w:szCs w:val="32"/>
          <w:lang w:val="en-US"/>
        </w:rPr>
      </w:pPr>
      <w:r>
        <w:rPr>
          <w:rFonts w:hint="default" w:ascii="楷体_GB2312" w:eastAsia="楷体_GB2312" w:cs="楷体_GB2312"/>
          <w:color w:val="auto"/>
          <w:sz w:val="32"/>
          <w:szCs w:val="32"/>
          <w:lang w:val="en-US"/>
        </w:rPr>
        <w:t>17.</w:t>
      </w:r>
      <w:r>
        <w:rPr>
          <w:rFonts w:hint="default" w:ascii="楷体_GB2312" w:eastAsia="楷体_GB2312" w:cs="楷体_GB2312"/>
          <w:color w:val="auto"/>
          <w:sz w:val="32"/>
          <w:szCs w:val="32"/>
        </w:rPr>
        <w:t>自然资源海洋气象等支出（类）。</w:t>
      </w:r>
      <w:r>
        <w:rPr>
          <w:sz w:val="32"/>
          <w:szCs w:val="32"/>
        </w:rPr>
        <w:t>年初预算为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万元，支出决算为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万元，完成年初预算的</w:t>
      </w:r>
      <w:r>
        <w:rPr>
          <w:sz w:val="32"/>
          <w:szCs w:val="32"/>
          <w:lang w:val="en-US"/>
        </w:rPr>
        <w:t>0%</w:t>
      </w:r>
      <w:r>
        <w:rPr>
          <w:sz w:val="32"/>
          <w:szCs w:val="32"/>
        </w:rPr>
        <w:t>，支出决算数大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小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于年初预算数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凡是年中有追加预算的或决算数低于年初预算数</w:t>
      </w:r>
      <w:r>
        <w:rPr>
          <w:sz w:val="32"/>
          <w:szCs w:val="32"/>
          <w:lang w:val="en-US"/>
        </w:rPr>
        <w:t>95%</w:t>
      </w:r>
      <w:r>
        <w:rPr>
          <w:sz w:val="32"/>
          <w:szCs w:val="32"/>
        </w:rPr>
        <w:t>的应作说明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的主要原因</w:t>
      </w:r>
      <w:r>
        <w:rPr>
          <w:rFonts w:hint="eastAsia"/>
          <w:sz w:val="32"/>
          <w:szCs w:val="32"/>
          <w:lang w:eastAsia="zh-CN"/>
        </w:rPr>
        <w:t>无</w:t>
      </w:r>
      <w:r>
        <w:rPr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rPr>
          <w:sz w:val="32"/>
          <w:szCs w:val="32"/>
          <w:lang w:val="en-US"/>
        </w:rPr>
      </w:pPr>
      <w:r>
        <w:rPr>
          <w:rFonts w:hint="default" w:ascii="楷体_GB2312" w:eastAsia="楷体_GB2312" w:cs="楷体_GB2312"/>
          <w:color w:val="auto"/>
          <w:sz w:val="32"/>
          <w:szCs w:val="32"/>
          <w:lang w:val="en-US"/>
        </w:rPr>
        <w:t>18.</w:t>
      </w:r>
      <w:r>
        <w:rPr>
          <w:rFonts w:hint="default" w:ascii="楷体_GB2312" w:eastAsia="楷体_GB2312" w:cs="楷体_GB2312"/>
          <w:color w:val="auto"/>
          <w:sz w:val="32"/>
          <w:szCs w:val="32"/>
        </w:rPr>
        <w:t>住房保障支出（类）。</w:t>
      </w:r>
      <w:r>
        <w:rPr>
          <w:sz w:val="32"/>
          <w:szCs w:val="32"/>
        </w:rPr>
        <w:t>年初预算为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万元，支出决算为</w:t>
      </w:r>
      <w:r>
        <w:rPr>
          <w:sz w:val="32"/>
          <w:szCs w:val="32"/>
          <w:lang w:val="en-US"/>
        </w:rPr>
        <w:t>1.53</w:t>
      </w:r>
      <w:r>
        <w:rPr>
          <w:sz w:val="32"/>
          <w:szCs w:val="32"/>
        </w:rPr>
        <w:t>万元，完成年初预算的</w:t>
      </w:r>
      <w:r>
        <w:rPr>
          <w:sz w:val="32"/>
          <w:szCs w:val="32"/>
          <w:lang w:val="en-US"/>
        </w:rPr>
        <w:t>0%</w:t>
      </w:r>
      <w:r>
        <w:rPr>
          <w:sz w:val="32"/>
          <w:szCs w:val="32"/>
        </w:rPr>
        <w:t>，支出决算数大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小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于年初预算数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凡是年中有追加预算的或决算数低于年初预算数</w:t>
      </w:r>
      <w:r>
        <w:rPr>
          <w:sz w:val="32"/>
          <w:szCs w:val="32"/>
          <w:lang w:val="en-US"/>
        </w:rPr>
        <w:t>95%</w:t>
      </w:r>
      <w:r>
        <w:rPr>
          <w:sz w:val="32"/>
          <w:szCs w:val="32"/>
        </w:rPr>
        <w:t>的应作说明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的主要原因</w:t>
      </w:r>
      <w:r>
        <w:rPr>
          <w:rFonts w:hint="eastAsia"/>
          <w:sz w:val="32"/>
          <w:szCs w:val="32"/>
          <w:lang w:eastAsia="zh-CN"/>
        </w:rPr>
        <w:t>：本单位是</w:t>
      </w:r>
      <w:r>
        <w:rPr>
          <w:rFonts w:hint="eastAsia"/>
          <w:sz w:val="32"/>
          <w:szCs w:val="32"/>
          <w:lang w:val="en-US" w:eastAsia="zh-CN"/>
        </w:rPr>
        <w:t>2019年新成立单位，无2019年年初预算数</w:t>
      </w:r>
      <w:r>
        <w:rPr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rPr>
          <w:rFonts w:hint="default" w:ascii="楷体_GB2312" w:eastAsia="楷体_GB2312" w:cs="楷体_GB2312"/>
          <w:color w:val="auto"/>
          <w:sz w:val="32"/>
          <w:szCs w:val="32"/>
          <w:lang w:val="en-US"/>
        </w:rPr>
      </w:pPr>
      <w:r>
        <w:rPr>
          <w:rFonts w:hint="default" w:ascii="楷体_GB2312" w:eastAsia="楷体_GB2312" w:cs="楷体_GB2312"/>
          <w:color w:val="auto"/>
          <w:sz w:val="32"/>
          <w:szCs w:val="32"/>
          <w:lang w:val="en-US"/>
        </w:rPr>
        <w:t>19.</w:t>
      </w:r>
      <w:r>
        <w:rPr>
          <w:rFonts w:hint="default" w:ascii="楷体_GB2312" w:eastAsia="楷体_GB2312" w:cs="楷体_GB2312"/>
          <w:color w:val="auto"/>
          <w:sz w:val="32"/>
          <w:szCs w:val="32"/>
        </w:rPr>
        <w:t>粮油物资储备支出（类）。</w:t>
      </w:r>
      <w:r>
        <w:rPr>
          <w:sz w:val="32"/>
          <w:szCs w:val="32"/>
        </w:rPr>
        <w:t>年初预算为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万元，支出决算为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万元，完成年初预算的</w:t>
      </w:r>
      <w:r>
        <w:rPr>
          <w:sz w:val="32"/>
          <w:szCs w:val="32"/>
          <w:lang w:val="en-US"/>
        </w:rPr>
        <w:t>0%</w:t>
      </w:r>
      <w:r>
        <w:rPr>
          <w:sz w:val="32"/>
          <w:szCs w:val="32"/>
        </w:rPr>
        <w:t>，支出决算数大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小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于年初预算数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凡是年中有追加预算的或决算数低于年初预算数</w:t>
      </w:r>
      <w:r>
        <w:rPr>
          <w:sz w:val="32"/>
          <w:szCs w:val="32"/>
          <w:lang w:val="en-US"/>
        </w:rPr>
        <w:t>95%</w:t>
      </w:r>
      <w:r>
        <w:rPr>
          <w:sz w:val="32"/>
          <w:szCs w:val="32"/>
        </w:rPr>
        <w:t>的应作说明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的主要原因</w:t>
      </w:r>
      <w:r>
        <w:rPr>
          <w:rFonts w:hint="eastAsia"/>
          <w:sz w:val="32"/>
          <w:szCs w:val="32"/>
          <w:lang w:eastAsia="zh-CN"/>
        </w:rPr>
        <w:t>无</w:t>
      </w:r>
      <w:r>
        <w:rPr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rPr>
          <w:rFonts w:hint="default" w:ascii="楷体_GB2312" w:eastAsia="楷体_GB2312" w:cs="楷体_GB2312"/>
          <w:color w:val="auto"/>
          <w:sz w:val="32"/>
          <w:szCs w:val="32"/>
          <w:lang w:val="en-US"/>
        </w:rPr>
      </w:pPr>
      <w:r>
        <w:rPr>
          <w:rFonts w:hint="default" w:ascii="楷体_GB2312" w:eastAsia="楷体_GB2312" w:cs="楷体_GB2312"/>
          <w:color w:val="auto"/>
          <w:sz w:val="32"/>
          <w:szCs w:val="32"/>
          <w:lang w:val="en-US"/>
        </w:rPr>
        <w:t>20.</w:t>
      </w:r>
      <w:r>
        <w:rPr>
          <w:rFonts w:hint="default" w:ascii="楷体_GB2312" w:eastAsia="楷体_GB2312" w:cs="楷体_GB2312"/>
          <w:color w:val="auto"/>
          <w:sz w:val="32"/>
          <w:szCs w:val="32"/>
        </w:rPr>
        <w:t>灾害防治及应急管理支出（类）。</w:t>
      </w:r>
      <w:r>
        <w:rPr>
          <w:sz w:val="32"/>
          <w:szCs w:val="32"/>
        </w:rPr>
        <w:t>年初预算为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万元，支出决算为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万元，完成年初预算的</w:t>
      </w:r>
      <w:r>
        <w:rPr>
          <w:sz w:val="32"/>
          <w:szCs w:val="32"/>
          <w:lang w:val="en-US"/>
        </w:rPr>
        <w:t>0%</w:t>
      </w:r>
      <w:r>
        <w:rPr>
          <w:sz w:val="32"/>
          <w:szCs w:val="32"/>
        </w:rPr>
        <w:t>，支出决算数大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小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于年初预算数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凡是年中有追加预算的或决算数低于年初预算数</w:t>
      </w:r>
      <w:r>
        <w:rPr>
          <w:sz w:val="32"/>
          <w:szCs w:val="32"/>
          <w:lang w:val="en-US"/>
        </w:rPr>
        <w:t>95%</w:t>
      </w:r>
      <w:r>
        <w:rPr>
          <w:sz w:val="32"/>
          <w:szCs w:val="32"/>
        </w:rPr>
        <w:t>的应作说明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的主要原因</w:t>
      </w:r>
      <w:r>
        <w:rPr>
          <w:rFonts w:hint="eastAsia"/>
          <w:sz w:val="32"/>
          <w:szCs w:val="32"/>
          <w:lang w:eastAsia="zh-CN"/>
        </w:rPr>
        <w:t>无</w:t>
      </w:r>
      <w:r>
        <w:rPr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jc w:val="both"/>
        <w:rPr>
          <w:rFonts w:hint="default" w:ascii="楷体_GB2312" w:eastAsia="楷体_GB2312" w:cs="楷体_GB2312"/>
          <w:color w:val="auto"/>
          <w:sz w:val="32"/>
          <w:szCs w:val="32"/>
          <w:lang w:val="en-US"/>
        </w:rPr>
      </w:pPr>
      <w:r>
        <w:rPr>
          <w:rFonts w:hint="default" w:ascii="楷体_GB2312" w:eastAsia="楷体_GB2312" w:cs="楷体_GB2312"/>
          <w:color w:val="auto"/>
          <w:sz w:val="32"/>
          <w:szCs w:val="32"/>
          <w:lang w:val="en-US"/>
        </w:rPr>
        <w:t>21.</w:t>
      </w:r>
      <w:r>
        <w:rPr>
          <w:rFonts w:hint="default" w:ascii="楷体_GB2312" w:eastAsia="楷体_GB2312" w:cs="楷体_GB2312"/>
          <w:color w:val="auto"/>
          <w:sz w:val="32"/>
          <w:szCs w:val="32"/>
        </w:rPr>
        <w:t>其他支出（类）。</w:t>
      </w:r>
      <w:r>
        <w:rPr>
          <w:sz w:val="32"/>
          <w:szCs w:val="32"/>
        </w:rPr>
        <w:t>年初预算为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万元，支出决算为</w:t>
      </w:r>
      <w:r>
        <w:rPr>
          <w:sz w:val="32"/>
          <w:szCs w:val="32"/>
          <w:lang w:val="en-US"/>
        </w:rPr>
        <w:t>0.00</w:t>
      </w:r>
      <w:r>
        <w:rPr>
          <w:sz w:val="32"/>
          <w:szCs w:val="32"/>
        </w:rPr>
        <w:t>万元，完成年初预算的</w:t>
      </w:r>
      <w:r>
        <w:rPr>
          <w:sz w:val="32"/>
          <w:szCs w:val="32"/>
          <w:lang w:val="en-US"/>
        </w:rPr>
        <w:t>0%</w:t>
      </w:r>
      <w:r>
        <w:rPr>
          <w:sz w:val="32"/>
          <w:szCs w:val="32"/>
        </w:rPr>
        <w:t>，支出决算数大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小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于年初预算数</w:t>
      </w:r>
      <w:r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凡是年中有追加预算的或决算数低于年初预算数</w:t>
      </w:r>
      <w:r>
        <w:rPr>
          <w:sz w:val="32"/>
          <w:szCs w:val="32"/>
          <w:lang w:val="en-US"/>
        </w:rPr>
        <w:t>95%</w:t>
      </w:r>
      <w:r>
        <w:rPr>
          <w:sz w:val="32"/>
          <w:szCs w:val="32"/>
        </w:rPr>
        <w:t>的应作说明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的主要原因</w:t>
      </w:r>
      <w:r>
        <w:rPr>
          <w:rFonts w:hint="eastAsia"/>
          <w:sz w:val="32"/>
          <w:szCs w:val="32"/>
          <w:lang w:eastAsia="zh-CN"/>
        </w:rPr>
        <w:t>无</w:t>
      </w:r>
      <w:r>
        <w:rPr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jc w:val="both"/>
      </w:pPr>
      <w:r>
        <w:rPr>
          <w:rFonts w:hint="eastAsia" w:ascii="黑体" w:hAnsi="宋体" w:eastAsia="黑体" w:cs="黑体"/>
          <w:color w:val="auto"/>
          <w:sz w:val="32"/>
          <w:szCs w:val="32"/>
        </w:rPr>
        <w:t>六、</w:t>
      </w:r>
      <w:r>
        <w:rPr>
          <w:rFonts w:hint="eastAsia" w:ascii="黑体" w:hAnsi="宋体" w:eastAsia="黑体" w:cs="黑体"/>
          <w:sz w:val="32"/>
          <w:szCs w:val="32"/>
          <w:lang w:val="en-US"/>
        </w:rPr>
        <w:t>2019</w:t>
      </w:r>
      <w:r>
        <w:rPr>
          <w:rFonts w:hint="eastAsia" w:ascii="黑体" w:hAnsi="宋体" w:eastAsia="黑体" w:cs="黑体"/>
          <w:sz w:val="32"/>
          <w:szCs w:val="32"/>
        </w:rPr>
        <w:t>年度</w:t>
      </w:r>
      <w:r>
        <w:rPr>
          <w:rFonts w:hint="eastAsia" w:ascii="黑体" w:hAnsi="宋体" w:eastAsia="黑体" w:cs="黑体"/>
          <w:color w:val="auto"/>
          <w:sz w:val="32"/>
          <w:szCs w:val="32"/>
        </w:rPr>
        <w:t>一般公共预算财政拨款基本支出决算情况</w:t>
      </w:r>
      <w:r>
        <w:rPr>
          <w:rFonts w:hint="eastAsia" w:ascii="黑体" w:hAnsi="宋体" w:eastAsia="黑体" w:cs="黑体"/>
          <w:sz w:val="32"/>
          <w:szCs w:val="32"/>
        </w:rPr>
        <w:t>说明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仿宋_GB2312" w:eastAsia="仿宋_GB2312" w:cs="仿宋_GB2312"/>
          <w:sz w:val="32"/>
          <w:szCs w:val="32"/>
          <w:lang w:val="en-US"/>
        </w:rPr>
        <w:t>2019</w:t>
      </w:r>
      <w:r>
        <w:rPr>
          <w:rFonts w:hint="default" w:ascii="仿宋_GB2312" w:eastAsia="仿宋_GB2312" w:cs="仿宋_GB2312"/>
          <w:sz w:val="32"/>
          <w:szCs w:val="32"/>
        </w:rPr>
        <w:t>度一般公共预算财政拨款基本支出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66.38</w:t>
      </w:r>
      <w:r>
        <w:rPr>
          <w:rFonts w:hint="default" w:ascii="仿宋_GB2312" w:eastAsia="仿宋_GB2312" w:cs="仿宋_GB2312"/>
          <w:sz w:val="32"/>
          <w:szCs w:val="32"/>
        </w:rPr>
        <w:t>万元，其中，</w:t>
      </w:r>
      <w:r>
        <w:rPr>
          <w:rFonts w:hint="default" w:ascii="仿宋_GB2312" w:eastAsia="仿宋_GB2312" w:cs="仿宋_GB2312"/>
          <w:b/>
          <w:sz w:val="32"/>
          <w:szCs w:val="32"/>
        </w:rPr>
        <w:t>人员经费</w:t>
      </w:r>
      <w:r>
        <w:rPr>
          <w:rFonts w:hint="default" w:ascii="仿宋_GB2312" w:eastAsia="仿宋_GB2312" w:cs="仿宋_GB2312"/>
          <w:b/>
          <w:sz w:val="32"/>
          <w:szCs w:val="32"/>
          <w:lang w:val="en-US"/>
        </w:rPr>
        <w:t>66.40</w:t>
      </w:r>
      <w:r>
        <w:rPr>
          <w:rFonts w:hint="default" w:ascii="仿宋_GB2312" w:eastAsia="仿宋_GB2312" w:cs="仿宋_GB2312"/>
          <w:sz w:val="32"/>
          <w:szCs w:val="32"/>
        </w:rPr>
        <w:t>万元，主要包括：基本工资、津贴补贴、奖金、伙食补助费、绩效工资、机关事业单位基本养老保险缴费、职业年金缴费、职工基本医疗保险缴费、公务员医疗补助缴费、其他社会保障缴费、住房公积金、医疗费、其他工资福利支出、离休费、退休费、退职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役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费、抚恤金、生活补助、救济费、医疗费补助、助学金、奖励金、其他对个人和家庭的补助；</w:t>
      </w:r>
      <w:r>
        <w:rPr>
          <w:rFonts w:hint="default" w:ascii="仿宋_GB2312" w:eastAsia="仿宋_GB2312" w:cs="仿宋_GB2312"/>
          <w:b/>
          <w:sz w:val="32"/>
          <w:szCs w:val="32"/>
        </w:rPr>
        <w:t>公用经费</w:t>
      </w:r>
      <w:r>
        <w:rPr>
          <w:rFonts w:hint="default" w:ascii="仿宋_GB2312" w:eastAsia="仿宋_GB2312" w:cs="仿宋_GB2312"/>
          <w:b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万元，主要包括：办公费、印刷费、咨询费、手续费、水费、电费、邮电费、取暖费、物业管理费、差旅费、因公出国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境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费用、维修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护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费、租赁费、会议费、培训费、公务接待费、专用材料费、被装购置费、专用燃料费、劳务费、委托业务费、工会经费、福利费、公务用车运行维护费、其他交通费用、税金及附加费用、其他商品和服务支出、国内债务付息、办公设备购置、专用设备购置、信息网络及软件购置更新、公务用车购置、其他交通工具购置、文物和陈列品购置、无形资产购置、其他资本性支出、费用补贴、其他对企业补助、对民间非营利组织和群众性自治组织补贴。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只说明本部门主要使用科目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eastAsia" w:ascii="黑体" w:hAnsi="宋体" w:eastAsia="黑体" w:cs="黑体"/>
          <w:sz w:val="32"/>
          <w:szCs w:val="32"/>
        </w:rPr>
        <w:t>七、</w:t>
      </w:r>
      <w:r>
        <w:rPr>
          <w:rFonts w:hint="eastAsia" w:ascii="黑体" w:hAnsi="宋体" w:eastAsia="黑体" w:cs="黑体"/>
          <w:sz w:val="32"/>
          <w:szCs w:val="32"/>
          <w:lang w:val="en-US"/>
        </w:rPr>
        <w:t>2019</w:t>
      </w:r>
      <w:r>
        <w:rPr>
          <w:rFonts w:hint="eastAsia" w:ascii="黑体" w:hAnsi="宋体" w:eastAsia="黑体" w:cs="黑体"/>
          <w:sz w:val="32"/>
          <w:szCs w:val="32"/>
        </w:rPr>
        <w:t>年度一般公共预算财政拨款“三公”经费支出决算情况说明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楷体_GB2312" w:eastAsia="楷体_GB2312" w:cs="楷体_GB2312"/>
          <w:sz w:val="32"/>
          <w:szCs w:val="32"/>
          <w:lang w:val="en-US"/>
        </w:rPr>
        <w:t>(</w:t>
      </w:r>
      <w:r>
        <w:rPr>
          <w:rFonts w:hint="default" w:ascii="楷体_GB2312" w:eastAsia="楷体_GB2312" w:cs="楷体_GB2312"/>
          <w:sz w:val="32"/>
          <w:szCs w:val="32"/>
        </w:rPr>
        <w:t>一</w:t>
      </w:r>
      <w:r>
        <w:rPr>
          <w:rFonts w:hint="default" w:ascii="楷体_GB2312" w:eastAsia="楷体_GB2312" w:cs="楷体_GB2312"/>
          <w:sz w:val="32"/>
          <w:szCs w:val="32"/>
          <w:lang w:val="en-US"/>
        </w:rPr>
        <w:t>)</w:t>
      </w:r>
      <w:r>
        <w:rPr>
          <w:rFonts w:hint="default" w:ascii="楷体_GB2312" w:eastAsia="楷体_GB2312" w:cs="楷体_GB2312"/>
          <w:sz w:val="32"/>
          <w:szCs w:val="32"/>
        </w:rPr>
        <w:t>“三公”经费的单位范围。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武汉市青山区退役军人事务局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有一般公共预算财政拨款预算安排“三公”经费的单位包括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武汉市青山区退役军人事务局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本级及下属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个行政单位、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1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个参公事业单位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（全额拨款）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1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个全额拨款事业单位。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楷体_GB2312" w:eastAsia="楷体_GB2312" w:cs="楷体_GB2312"/>
          <w:sz w:val="32"/>
          <w:szCs w:val="32"/>
          <w:lang w:val="en-US"/>
        </w:rPr>
        <w:t>(</w:t>
      </w:r>
      <w:r>
        <w:rPr>
          <w:rFonts w:hint="default" w:ascii="楷体_GB2312" w:eastAsia="楷体_GB2312" w:cs="楷体_GB2312"/>
          <w:sz w:val="32"/>
          <w:szCs w:val="32"/>
        </w:rPr>
        <w:t>二</w:t>
      </w:r>
      <w:r>
        <w:rPr>
          <w:rFonts w:hint="default" w:ascii="楷体_GB2312" w:eastAsia="楷体_GB2312" w:cs="楷体_GB2312"/>
          <w:sz w:val="32"/>
          <w:szCs w:val="32"/>
          <w:lang w:val="en-US"/>
        </w:rPr>
        <w:t>)</w:t>
      </w:r>
      <w:r>
        <w:rPr>
          <w:rFonts w:hint="default" w:ascii="楷体_GB2312" w:eastAsia="楷体_GB2312" w:cs="楷体_GB2312"/>
          <w:sz w:val="32"/>
          <w:szCs w:val="32"/>
        </w:rPr>
        <w:t>一般公共预算财政拨款“三公”经费支出决算情况。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2019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年度“三公”经费财政拨款年初预算数为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万元，支出决算为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万元，完成年初预算的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0.00%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，</w:t>
      </w:r>
      <w:r>
        <w:rPr>
          <w:rFonts w:hint="default" w:ascii="仿宋_GB2312" w:eastAsia="仿宋_GB2312" w:cs="仿宋_GB2312"/>
          <w:sz w:val="32"/>
          <w:szCs w:val="32"/>
        </w:rPr>
        <w:t>其中：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1.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因公出国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境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费支出决算为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万元，完成年初预算的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0.00%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，比年初预算增加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减少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)</w:t>
      </w:r>
      <w:r>
        <w:rPr>
          <w:lang w:val="en-US"/>
        </w:rPr>
        <w:t xml:space="preserve"> 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万元，主要原因是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无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2019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年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武汉市青山区退役军人事务局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因公出国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境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团组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个，</w:t>
      </w:r>
      <w:r>
        <w:rPr>
          <w:rFonts w:ascii="仿宋_GB2312" w:eastAsia="仿宋_GB2312"/>
          <w:color w:val="000000"/>
          <w:sz w:val="32"/>
          <w:szCs w:val="32"/>
          <w:u w:val="single"/>
          <w:lang w:val="en-US"/>
        </w:rPr>
        <w:t> 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人次，实际发生支出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万元。其中：住宿费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万元、旅费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万元、伙食补助费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万元、培训费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万元、杂费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万元。主要用于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>/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国际交流与合作团组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个、</w:t>
      </w:r>
      <w:r>
        <w:rPr>
          <w:rFonts w:ascii="仿宋_GB2312" w:eastAsia="仿宋_GB2312"/>
          <w:color w:val="000000"/>
          <w:sz w:val="32"/>
          <w:szCs w:val="32"/>
          <w:u w:val="single"/>
          <w:lang w:val="en-US"/>
        </w:rPr>
        <w:t> 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人次；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>/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招商引资与会展团组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个、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人次；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>/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国际组织会议团组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个、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人次；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>/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境外培训团组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个、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人次；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>/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业务考察团组</w:t>
      </w:r>
      <w:r>
        <w:rPr>
          <w:rFonts w:ascii="仿宋_GB2312" w:eastAsia="仿宋_GB2312"/>
          <w:color w:val="000000"/>
          <w:sz w:val="32"/>
          <w:szCs w:val="32"/>
          <w:u w:val="single"/>
          <w:lang w:val="en-US"/>
        </w:rPr>
        <w:t>  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个，及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>/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。通过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  <w:lang w:val="en-US"/>
        </w:rPr>
        <w:t xml:space="preserve">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>/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2.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公务用车购置及运行费支出决算为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万元，完成年初预算的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0.00%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；其中：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(1)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公务用车购置费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万元，完成年初预算的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0.00%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，比年初预算增加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减少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) 0.00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万元，主要原因是……。本年度购置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更新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公务用车</w:t>
      </w:r>
      <w:r>
        <w:rPr>
          <w:snapToGrid w:val="0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辆，年末公务用车保有量</w:t>
      </w:r>
      <w:r>
        <w:rPr>
          <w:snapToGrid w:val="0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辆。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(2)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公务用车运行费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万元，完成年初预算的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0.00%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，比年初预算增加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减少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) 0.00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万元，主要原因是……。主要用于……，其中：燃料费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  <w:lang w:val="en-US"/>
        </w:rPr>
        <w:t xml:space="preserve">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万元；维修费</w:t>
      </w:r>
      <w:r>
        <w:rPr>
          <w:rFonts w:ascii="仿宋_GB2312" w:eastAsia="仿宋_GB2312"/>
          <w:color w:val="000000"/>
          <w:sz w:val="32"/>
          <w:szCs w:val="32"/>
          <w:u w:val="single"/>
          <w:lang w:val="en-US"/>
        </w:rPr>
        <w:t> 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万元；过桥过路费</w:t>
      </w:r>
      <w:r>
        <w:rPr>
          <w:rFonts w:ascii="仿宋_GB2312" w:eastAsia="仿宋_GB2312"/>
          <w:color w:val="000000"/>
          <w:sz w:val="32"/>
          <w:szCs w:val="32"/>
          <w:u w:val="single"/>
          <w:lang w:val="en-US"/>
        </w:rPr>
        <w:t> 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万元；保险费</w:t>
      </w:r>
      <w:r>
        <w:rPr>
          <w:rFonts w:ascii="仿宋_GB2312" w:eastAsia="仿宋_GB2312"/>
          <w:color w:val="000000"/>
          <w:sz w:val="32"/>
          <w:szCs w:val="32"/>
          <w:u w:val="single"/>
          <w:lang w:val="en-US"/>
        </w:rPr>
        <w:t> 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  <w:lang w:val="en-US"/>
        </w:rPr>
        <w:t xml:space="preserve">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万元；安全奖励费用</w:t>
      </w:r>
      <w:r>
        <w:rPr>
          <w:rFonts w:ascii="仿宋_GB2312" w:eastAsia="仿宋_GB2312"/>
          <w:color w:val="000000"/>
          <w:sz w:val="32"/>
          <w:szCs w:val="32"/>
          <w:u w:val="single"/>
          <w:lang w:val="en-US"/>
        </w:rPr>
        <w:t> 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  <w:lang w:val="en-US"/>
        </w:rPr>
        <w:t xml:space="preserve">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万元；其他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</w:rPr>
        <w:t>填写具体项目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万元。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3.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公务接待费支出决算为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万元，完成年初预算的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0.00%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，比年初预算增加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减少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) 0.00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万元，主要原因是……。主要用于……。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2019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年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武汉市青山区退役军人事务局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执行公务和开展业务活动开支公务接待费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万元。其中：国际访问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万元，主要用于</w:t>
      </w:r>
      <w:r>
        <w:rPr>
          <w:rFonts w:ascii="仿宋_GB2312" w:eastAsia="仿宋_GB2312"/>
          <w:color w:val="000000"/>
          <w:sz w:val="32"/>
          <w:szCs w:val="32"/>
          <w:u w:val="single"/>
          <w:lang w:val="en-US"/>
        </w:rPr>
        <w:t>   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/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  <w:lang w:val="en-US"/>
        </w:rPr>
        <w:t xml:space="preserve">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的接待工作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批次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人次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其中：陪同</w:t>
      </w:r>
      <w:r>
        <w:rPr>
          <w:rFonts w:ascii="仿宋_GB2312" w:eastAsia="仿宋_GB2312"/>
          <w:color w:val="000000"/>
          <w:sz w:val="32"/>
          <w:szCs w:val="32"/>
          <w:u w:val="single"/>
          <w:lang w:val="en-US"/>
        </w:rPr>
        <w:t>  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人次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；大型活动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万元，主要用于</w:t>
      </w:r>
      <w:r>
        <w:rPr>
          <w:rFonts w:ascii="仿宋_GB2312" w:eastAsia="仿宋_GB2312"/>
          <w:color w:val="000000"/>
          <w:sz w:val="32"/>
          <w:szCs w:val="32"/>
          <w:u w:val="single"/>
          <w:lang w:val="en-US"/>
        </w:rPr>
        <w:t> 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  <w:lang w:val="en-US"/>
        </w:rPr>
        <w:t xml:space="preserve">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的接待工作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批次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人次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其中：陪同</w:t>
      </w:r>
      <w:r>
        <w:rPr>
          <w:rFonts w:ascii="仿宋_GB2312" w:eastAsia="仿宋_GB2312"/>
          <w:color w:val="000000"/>
          <w:sz w:val="32"/>
          <w:szCs w:val="32"/>
          <w:u w:val="single"/>
          <w:lang w:val="en-US"/>
        </w:rPr>
        <w:t> 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人次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；外省市交流接待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万元，主要用于</w:t>
      </w:r>
      <w:r>
        <w:rPr>
          <w:rFonts w:ascii="仿宋_GB2312" w:eastAsia="仿宋_GB2312"/>
          <w:color w:val="000000"/>
          <w:sz w:val="32"/>
          <w:szCs w:val="32"/>
          <w:u w:val="single"/>
          <w:lang w:val="en-US"/>
        </w:rPr>
        <w:t>   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/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  <w:lang w:val="en-US"/>
        </w:rPr>
        <w:t xml:space="preserve">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的接待工作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  <w:lang w:val="en-US"/>
        </w:rPr>
        <w:t xml:space="preserve">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批次</w:t>
      </w:r>
      <w:r>
        <w:rPr>
          <w:rFonts w:ascii="仿宋_GB2312" w:eastAsia="仿宋_GB2312"/>
          <w:color w:val="000000"/>
          <w:sz w:val="32"/>
          <w:szCs w:val="32"/>
          <w:u w:val="single"/>
          <w:lang w:val="en-US"/>
        </w:rPr>
        <w:t> 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人次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其中：陪同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人次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；及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/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等接待活动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万元，主要用于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/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的接待工作</w:t>
      </w:r>
      <w:r>
        <w:rPr>
          <w:rFonts w:ascii="仿宋_GB2312" w:eastAsia="仿宋_GB2312"/>
          <w:color w:val="000000"/>
          <w:sz w:val="32"/>
          <w:szCs w:val="32"/>
          <w:u w:val="single"/>
          <w:lang w:val="en-US"/>
        </w:rPr>
        <w:t> 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批次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人次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其中：陪同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人次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2019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年度“三公”经费财政拨款支出决算数比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2018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年增加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减少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)</w:t>
      </w:r>
      <w:r>
        <w:rPr>
          <w:rFonts w:hint="eastAsia" w:ascii="宋体" w:hAnsi="宋体" w:eastAsia="宋体" w:cs="宋体"/>
          <w:sz w:val="24"/>
          <w:szCs w:val="24"/>
        </w:rPr>
        <w:t>0.00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万元，增长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下降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)</w:t>
      </w:r>
      <w:r>
        <w:rPr>
          <w:rFonts w:hint="eastAsia" w:ascii="宋体" w:hAnsi="宋体" w:eastAsia="宋体" w:cs="宋体"/>
          <w:sz w:val="24"/>
          <w:szCs w:val="24"/>
        </w:rPr>
        <w:t>0.00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%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，其中：因公出国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境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支出决算增加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减少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)</w:t>
      </w:r>
      <w:r>
        <w:rPr>
          <w:rFonts w:hint="eastAsia" w:ascii="宋体" w:hAnsi="宋体" w:eastAsia="宋体" w:cs="宋体"/>
          <w:sz w:val="24"/>
          <w:szCs w:val="24"/>
        </w:rPr>
        <w:t>0.00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万元，增长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下降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)</w:t>
      </w:r>
      <w:r>
        <w:rPr>
          <w:rFonts w:hint="eastAsia" w:ascii="宋体" w:hAnsi="宋体" w:eastAsia="宋体" w:cs="宋体"/>
          <w:sz w:val="24"/>
          <w:szCs w:val="24"/>
        </w:rPr>
        <w:t>0.00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%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；公务用车购置及运行费支出决算增加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减少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)</w:t>
      </w:r>
      <w:r>
        <w:rPr>
          <w:rFonts w:hint="eastAsia" w:ascii="宋体" w:hAnsi="宋体" w:eastAsia="宋体" w:cs="宋体"/>
          <w:sz w:val="24"/>
          <w:szCs w:val="24"/>
        </w:rPr>
        <w:t>0.00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万元，增长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下降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)</w:t>
      </w:r>
      <w:r>
        <w:rPr>
          <w:rFonts w:hint="eastAsia" w:ascii="宋体" w:hAnsi="宋体" w:eastAsia="宋体" w:cs="宋体"/>
          <w:sz w:val="24"/>
          <w:szCs w:val="24"/>
        </w:rPr>
        <w:t>0.00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%,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公务接待支出决算增加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减少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)</w:t>
      </w:r>
      <w:r>
        <w:rPr>
          <w:rFonts w:hint="eastAsia" w:ascii="宋体" w:hAnsi="宋体" w:eastAsia="宋体" w:cs="宋体"/>
          <w:sz w:val="24"/>
          <w:szCs w:val="24"/>
        </w:rPr>
        <w:t>0.00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万元，增长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下降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)</w:t>
      </w:r>
      <w:r>
        <w:rPr>
          <w:rFonts w:hint="eastAsia" w:ascii="宋体" w:hAnsi="宋体" w:eastAsia="宋体" w:cs="宋体"/>
          <w:sz w:val="24"/>
          <w:szCs w:val="24"/>
        </w:rPr>
        <w:t>0.00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%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。因公出国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境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费支出增加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减少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的主要原因是</w:t>
      </w:r>
      <w:r>
        <w:rPr>
          <w:i/>
          <w:color w:val="000000"/>
          <w:sz w:val="32"/>
          <w:szCs w:val="32"/>
          <w:lang w:val="en-US"/>
        </w:rPr>
        <w:t>……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，公务用车购置及运行费支出决算增加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减少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的主要原因是</w:t>
      </w:r>
      <w:r>
        <w:rPr>
          <w:color w:val="000000"/>
          <w:sz w:val="32"/>
          <w:szCs w:val="32"/>
          <w:lang w:val="en-US"/>
        </w:rPr>
        <w:t>……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，公务接待费支出决算增加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减少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的主要原因是</w:t>
      </w:r>
      <w:r>
        <w:rPr>
          <w:color w:val="000000"/>
          <w:sz w:val="32"/>
          <w:szCs w:val="32"/>
          <w:lang w:val="en-US"/>
        </w:rPr>
        <w:t>……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jc w:val="both"/>
      </w:pPr>
      <w:r>
        <w:rPr>
          <w:rFonts w:hint="eastAsia" w:ascii="黑体" w:hAnsi="宋体" w:eastAsia="黑体" w:cs="黑体"/>
          <w:color w:val="auto"/>
          <w:sz w:val="32"/>
          <w:szCs w:val="32"/>
        </w:rPr>
        <w:t>八、</w:t>
      </w:r>
      <w:r>
        <w:rPr>
          <w:rFonts w:hint="eastAsia" w:ascii="黑体" w:hAnsi="宋体" w:eastAsia="黑体" w:cs="黑体"/>
          <w:color w:val="auto"/>
          <w:sz w:val="32"/>
          <w:szCs w:val="32"/>
          <w:lang w:val="en-US"/>
        </w:rPr>
        <w:t>2019</w:t>
      </w:r>
      <w:r>
        <w:rPr>
          <w:rFonts w:hint="eastAsia" w:ascii="黑体" w:hAnsi="宋体" w:eastAsia="黑体" w:cs="黑体"/>
          <w:color w:val="auto"/>
          <w:sz w:val="32"/>
          <w:szCs w:val="32"/>
        </w:rPr>
        <w:t>年度政府性基金预算财政拨款收入支出决算情况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仿宋_GB2312" w:eastAsia="仿宋_GB2312" w:cs="仿宋_GB2312"/>
          <w:sz w:val="32"/>
          <w:szCs w:val="32"/>
          <w:lang w:val="en-US"/>
        </w:rPr>
        <w:t>2019</w:t>
      </w:r>
      <w:r>
        <w:rPr>
          <w:rFonts w:hint="default" w:ascii="仿宋_GB2312" w:eastAsia="仿宋_GB2312" w:cs="仿宋_GB2312"/>
          <w:sz w:val="32"/>
          <w:szCs w:val="32"/>
        </w:rPr>
        <w:t>年政府性基金预算财政拨款年初结转和结余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万元，本年收入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万元，本年支出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万元，年末结转和结余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万元。具体支出情况为：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政府性基金预算财政拨款支出决算具体情况，按支出功能分类类级科目逐类分析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一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文化体育与传媒支出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类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。支出决算为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万元，主要用于……等方面支出。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rPr>
          <w:rFonts w:hint="default" w:ascii="仿宋_GB2312" w:eastAsia="仿宋_GB2312" w:cs="仿宋_GB2312"/>
          <w:sz w:val="32"/>
          <w:szCs w:val="32"/>
          <w:lang w:val="en-US"/>
        </w:rPr>
      </w:pP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二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lang w:val="en-US"/>
        </w:rPr>
        <w:t xml:space="preserve"> </w:t>
      </w:r>
      <w:r>
        <w:rPr>
          <w:rFonts w:hint="default" w:ascii="仿宋_GB2312" w:eastAsia="仿宋_GB2312" w:cs="仿宋_GB2312"/>
          <w:sz w:val="32"/>
          <w:szCs w:val="32"/>
        </w:rPr>
        <w:t>社会保障和就业支出（类）。支出决算为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万元，主要用于……等方面支出。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rPr>
          <w:rFonts w:hint="default" w:ascii="仿宋_GB2312" w:eastAsia="仿宋_GB2312" w:cs="仿宋_GB2312"/>
          <w:sz w:val="32"/>
          <w:szCs w:val="32"/>
          <w:lang w:val="en-US"/>
        </w:rPr>
      </w:pP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三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lang w:val="en-US"/>
        </w:rPr>
        <w:t xml:space="preserve"> </w:t>
      </w:r>
      <w:r>
        <w:rPr>
          <w:rFonts w:hint="default" w:ascii="仿宋_GB2312" w:eastAsia="仿宋_GB2312" w:cs="仿宋_GB2312"/>
          <w:sz w:val="32"/>
          <w:szCs w:val="32"/>
        </w:rPr>
        <w:t>城乡社区支出（类）。支出决算为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万元，主要用于……等方面支出。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rPr>
          <w:rFonts w:hint="default" w:ascii="仿宋_GB2312" w:eastAsia="仿宋_GB2312" w:cs="仿宋_GB2312"/>
          <w:sz w:val="32"/>
          <w:szCs w:val="32"/>
          <w:lang w:val="en-US"/>
        </w:rPr>
      </w:pP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四）农林水支出（类）。支出决算为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万元，主要用于……等方面支出。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rPr>
          <w:rFonts w:hint="default" w:ascii="仿宋_GB2312" w:eastAsia="仿宋_GB2312" w:cs="仿宋_GB2312"/>
          <w:sz w:val="32"/>
          <w:szCs w:val="32"/>
          <w:lang w:val="en-US"/>
        </w:rPr>
      </w:pPr>
      <w:r>
        <w:rPr>
          <w:rFonts w:hint="default" w:ascii="仿宋_GB2312" w:eastAsia="仿宋_GB2312" w:cs="仿宋_GB2312"/>
          <w:sz w:val="32"/>
          <w:szCs w:val="32"/>
        </w:rPr>
        <w:t>（五）交通运输支出（类）。支出决算为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万元，主要用于……等方面支出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如果本部门没有政府性基金预算财政拨款收入，也没有使用政府性基金预算财政拨款安排的支出，则需要在公开空白的“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2019</w:t>
      </w:r>
      <w:r>
        <w:rPr>
          <w:rFonts w:hint="default" w:ascii="仿宋_GB2312" w:eastAsia="仿宋_GB2312" w:cs="仿宋_GB2312"/>
          <w:sz w:val="32"/>
          <w:szCs w:val="32"/>
        </w:rPr>
        <w:t>年度政府性基金预算财政拨款收入支出决算表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表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8)</w:t>
      </w:r>
      <w:r>
        <w:rPr>
          <w:rFonts w:hint="default" w:ascii="仿宋_GB2312" w:eastAsia="仿宋_GB2312" w:cs="仿宋_GB2312"/>
          <w:sz w:val="32"/>
          <w:szCs w:val="32"/>
        </w:rPr>
        <w:t>”下作说明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jc w:val="both"/>
      </w:pPr>
      <w:r>
        <w:rPr>
          <w:rFonts w:hint="eastAsia" w:ascii="黑体" w:hAnsi="宋体" w:eastAsia="黑体" w:cs="黑体"/>
          <w:color w:val="auto"/>
          <w:sz w:val="32"/>
          <w:szCs w:val="32"/>
        </w:rPr>
        <w:t>九、预算绩效情况说明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一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 xml:space="preserve">预算绩效管理工作开展情况。 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30"/>
        <w:rPr>
          <w:highlight w:val="yellow"/>
        </w:rPr>
      </w:pPr>
      <w:r>
        <w:rPr>
          <w:rFonts w:hint="default" w:ascii="仿宋_GB2312" w:eastAsia="仿宋_GB2312" w:cs="仿宋_GB2312"/>
          <w:sz w:val="32"/>
          <w:szCs w:val="32"/>
        </w:rPr>
        <w:t>根据预算绩效管理要求，我部门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单位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组织对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2019</w:t>
      </w:r>
      <w:r>
        <w:rPr>
          <w:rFonts w:hint="default" w:ascii="仿宋_GB2312" w:eastAsia="仿宋_GB2312" w:cs="仿宋_GB2312"/>
          <w:sz w:val="32"/>
          <w:szCs w:val="32"/>
        </w:rPr>
        <w:t>年度一般公共预算项目支出全面开展绩效自评，共涉及项目</w:t>
      </w:r>
      <w:r>
        <w:rPr>
          <w:rFonts w:ascii="仿宋_GB2312" w:eastAsia="仿宋_GB2312"/>
          <w:sz w:val="32"/>
          <w:szCs w:val="32"/>
          <w:u w:val="single"/>
        </w:rPr>
        <w:t>6</w:t>
      </w:r>
      <w:r>
        <w:rPr>
          <w:rFonts w:hint="default" w:ascii="仿宋_GB2312" w:eastAsia="仿宋_GB2312" w:cs="仿宋_GB2312"/>
          <w:sz w:val="32"/>
          <w:szCs w:val="32"/>
        </w:rPr>
        <w:t>个，资金</w:t>
      </w:r>
      <w:r>
        <w:rPr>
          <w:rFonts w:ascii="仿宋_GB2312" w:eastAsia="仿宋_GB2312"/>
          <w:sz w:val="32"/>
          <w:szCs w:val="32"/>
          <w:u w:val="single"/>
        </w:rPr>
        <w:t>3920.71</w:t>
      </w:r>
      <w:r>
        <w:rPr>
          <w:rFonts w:hint="default" w:ascii="仿宋_GB2312" w:eastAsia="仿宋_GB2312" w:cs="仿宋_GB2312"/>
          <w:sz w:val="32"/>
          <w:szCs w:val="32"/>
        </w:rPr>
        <w:t>万元。组织对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>1</w:t>
      </w:r>
      <w:r>
        <w:rPr>
          <w:rFonts w:hint="default" w:ascii="仿宋_GB2312" w:eastAsia="仿宋_GB2312" w:cs="仿宋_GB2312"/>
          <w:sz w:val="32"/>
          <w:szCs w:val="32"/>
        </w:rPr>
        <w:t>个部门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单位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开展整体支出绩效自评，资金</w:t>
      </w:r>
      <w:r>
        <w:rPr>
          <w:rFonts w:ascii="仿宋_GB2312" w:eastAsia="仿宋_GB2312"/>
          <w:sz w:val="32"/>
          <w:szCs w:val="32"/>
          <w:u w:val="single"/>
        </w:rPr>
        <w:t>3987.09</w:t>
      </w:r>
      <w:r>
        <w:rPr>
          <w:rFonts w:hint="default" w:ascii="仿宋_GB2312" w:eastAsia="仿宋_GB2312" w:cs="仿宋_GB2312"/>
          <w:sz w:val="32"/>
          <w:szCs w:val="32"/>
        </w:rPr>
        <w:t>万元。</w:t>
      </w:r>
      <w:r>
        <w:rPr>
          <w:rFonts w:hint="default" w:ascii="仿宋_GB2312" w:eastAsia="仿宋_GB2312" w:cs="仿宋_GB2312"/>
          <w:sz w:val="32"/>
          <w:szCs w:val="32"/>
          <w:highlight w:val="yellow"/>
        </w:rPr>
        <w:t>从绩效评价情况来看，</w:t>
      </w:r>
      <w:r>
        <w:rPr>
          <w:rFonts w:hint="default" w:ascii="仿宋" w:hAnsi="仿宋" w:eastAsia="仿宋" w:cs="仿宋"/>
          <w:color w:val="000000"/>
          <w:sz w:val="32"/>
          <w:szCs w:val="32"/>
          <w:highlight w:val="yellow"/>
        </w:rPr>
        <w:t>单位自成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  <w:t>立以来，务实</w:t>
      </w:r>
      <w:r>
        <w:rPr>
          <w:rFonts w:hint="default" w:ascii="仿宋" w:hAnsi="仿宋" w:eastAsia="仿宋" w:cs="仿宋"/>
          <w:color w:val="000000"/>
          <w:sz w:val="32"/>
          <w:szCs w:val="32"/>
          <w:highlight w:val="yellow"/>
        </w:rPr>
        <w:t>开展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  <w:t>各项工作，目前各项工作稳步推进</w:t>
      </w:r>
      <w:r>
        <w:rPr>
          <w:rFonts w:hint="default" w:ascii="仿宋" w:hAnsi="仿宋" w:eastAsia="仿宋" w:cs="仿宋"/>
          <w:color w:val="000000"/>
          <w:sz w:val="32"/>
          <w:szCs w:val="32"/>
          <w:highlight w:val="yellow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  <w:t>取得明显成效</w:t>
      </w:r>
      <w:r>
        <w:rPr>
          <w:rFonts w:hint="default" w:ascii="仿宋" w:hAnsi="仿宋" w:eastAsia="仿宋" w:cs="仿宋"/>
          <w:color w:val="000000"/>
          <w:sz w:val="32"/>
          <w:szCs w:val="32"/>
          <w:highlight w:val="yellow"/>
        </w:rPr>
        <w:t>，各项绩效目标完成情况也完成良好，均已达到目标值。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/>
      </w:pPr>
      <w:r>
        <w:rPr>
          <w:rFonts w:ascii="仿宋_GB2312" w:eastAsia="仿宋_GB2312"/>
          <w:sz w:val="32"/>
          <w:szCs w:val="32"/>
          <w:lang w:val="en-US"/>
        </w:rPr>
        <w:t>   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 xml:space="preserve"> (</w:t>
      </w:r>
      <w:r>
        <w:rPr>
          <w:rFonts w:hint="default" w:ascii="仿宋_GB2312" w:eastAsia="仿宋_GB2312" w:cs="仿宋_GB2312"/>
          <w:sz w:val="32"/>
          <w:szCs w:val="32"/>
        </w:rPr>
        <w:t>二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绩效自评结果。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/>
      </w:pPr>
      <w:r>
        <w:rPr>
          <w:rFonts w:ascii="仿宋_GB2312" w:eastAsia="仿宋_GB2312"/>
          <w:sz w:val="32"/>
          <w:szCs w:val="32"/>
          <w:lang w:val="en-US"/>
        </w:rPr>
        <w:t> 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 xml:space="preserve"> </w:t>
      </w:r>
      <w:r>
        <w:rPr>
          <w:rFonts w:ascii="仿宋_GB2312" w:eastAsia="仿宋_GB2312"/>
          <w:sz w:val="32"/>
          <w:szCs w:val="32"/>
          <w:lang w:val="en-US"/>
        </w:rPr>
        <w:t>  </w:t>
      </w:r>
      <w:r>
        <w:rPr>
          <w:rFonts w:hint="default" w:ascii="仿宋_GB2312" w:eastAsia="仿宋_GB2312" w:cs="仿宋_GB2312"/>
          <w:sz w:val="32"/>
          <w:szCs w:val="32"/>
        </w:rPr>
        <w:t>我部门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单位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今年在市级部门决算中反映所有项目绩效自评结果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不包括涉密项目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right="0" w:firstLine="320" w:firstLineChars="100"/>
        <w:rPr>
          <w:rFonts w:hint="default" w:ascii="仿宋_GB2312" w:eastAsia="仿宋_GB2312" w:cs="仿宋_GB2312"/>
          <w:sz w:val="32"/>
          <w:szCs w:val="32"/>
        </w:rPr>
      </w:pPr>
      <w:r>
        <w:rPr>
          <w:rFonts w:hint="default" w:ascii="仿宋_GB2312" w:eastAsia="仿宋_GB2312" w:cs="仿宋_GB2312"/>
          <w:sz w:val="32"/>
          <w:szCs w:val="32"/>
          <w:lang w:val="en-US"/>
        </w:rPr>
        <w:t>1.</w:t>
      </w:r>
      <w:r>
        <w:rPr>
          <w:rFonts w:ascii="仿宋_GB2312" w:eastAsia="仿宋_GB2312"/>
          <w:sz w:val="32"/>
          <w:szCs w:val="32"/>
          <w:u w:val="single"/>
          <w:lang w:val="en-US"/>
        </w:rPr>
        <w:t> </w:t>
      </w:r>
      <w:r>
        <w:rPr>
          <w:rFonts w:ascii="仿宋_GB2312" w:eastAsia="仿宋_GB2312"/>
          <w:sz w:val="32"/>
          <w:szCs w:val="32"/>
          <w:u w:val="single"/>
        </w:rPr>
        <w:t>人力资源和社会保障</w:t>
      </w:r>
      <w:r>
        <w:rPr>
          <w:rFonts w:hint="default" w:ascii="仿宋_GB2312" w:eastAsia="仿宋_GB2312" w:cs="仿宋_GB2312"/>
          <w:sz w:val="32"/>
          <w:szCs w:val="32"/>
        </w:rPr>
        <w:t>项目绩效自评综述：项目全年预算数为</w:t>
      </w:r>
      <w:r>
        <w:rPr>
          <w:rFonts w:ascii="仿宋_GB2312" w:eastAsia="仿宋_GB2312"/>
          <w:sz w:val="32"/>
          <w:szCs w:val="32"/>
          <w:u w:val="single"/>
        </w:rPr>
        <w:t>0</w:t>
      </w:r>
      <w:r>
        <w:rPr>
          <w:rFonts w:hint="default" w:ascii="仿宋_GB2312" w:eastAsia="仿宋_GB2312" w:cs="仿宋_GB2312"/>
          <w:sz w:val="32"/>
          <w:szCs w:val="32"/>
        </w:rPr>
        <w:t>万元，执行数为</w:t>
      </w:r>
      <w:r>
        <w:rPr>
          <w:rFonts w:ascii="仿宋_GB2312" w:eastAsia="仿宋_GB2312"/>
          <w:sz w:val="32"/>
          <w:szCs w:val="32"/>
          <w:u w:val="single"/>
        </w:rPr>
        <w:t>387.9</w:t>
      </w:r>
      <w:r>
        <w:rPr>
          <w:rFonts w:hint="default" w:ascii="仿宋_GB2312" w:eastAsia="仿宋_GB2312" w:cs="仿宋_GB2312"/>
          <w:sz w:val="32"/>
          <w:szCs w:val="32"/>
        </w:rPr>
        <w:t>万元，完成预算的</w:t>
      </w:r>
      <w:r>
        <w:rPr>
          <w:rFonts w:ascii="仿宋_GB2312" w:eastAsia="仿宋_GB2312"/>
          <w:sz w:val="32"/>
          <w:szCs w:val="32"/>
          <w:u w:val="single"/>
          <w:lang w:val="en-US"/>
        </w:rPr>
        <w:t> </w:t>
      </w:r>
      <w:r>
        <w:rPr>
          <w:rFonts w:hint="default" w:ascii="仿宋_GB2312" w:eastAsia="仿宋_GB2312" w:cs="仿宋_GB2312"/>
          <w:sz w:val="32"/>
          <w:szCs w:val="32"/>
          <w:u w:val="single"/>
        </w:rPr>
        <w:t>/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%</w:t>
      </w:r>
      <w:r>
        <w:rPr>
          <w:rFonts w:hint="default" w:ascii="仿宋_GB2312" w:eastAsia="仿宋_GB2312" w:cs="仿宋_GB2312"/>
          <w:sz w:val="32"/>
          <w:szCs w:val="32"/>
        </w:rPr>
        <w:t>。主要产出和效果：</w:t>
      </w:r>
      <w:r>
        <w:rPr>
          <w:rFonts w:hint="default" w:ascii="仿宋_GB2312" w:eastAsia="仿宋_GB2312" w:cs="仿宋_GB2312"/>
          <w:sz w:val="32"/>
          <w:szCs w:val="32"/>
          <w:highlight w:val="yellow"/>
        </w:rPr>
        <w:t>建立、健全优抚对象、退役士兵</w:t>
      </w:r>
      <w:r>
        <w:rPr>
          <w:rFonts w:hint="default" w:eastAsia="仿宋_GB2312" w:cs="Times New Roman"/>
          <w:bCs/>
          <w:sz w:val="32"/>
          <w:szCs w:val="32"/>
          <w:highlight w:val="yellow"/>
          <w:u w:val="none"/>
          <w:lang w:val="en-US" w:eastAsia="zh-CN"/>
        </w:rPr>
        <w:t>管理保障体系，维护军人合法权益</w:t>
      </w:r>
      <w:r>
        <w:rPr>
          <w:rFonts w:hint="default" w:ascii="仿宋_GB2312" w:eastAsia="仿宋_GB2312" w:cs="仿宋_GB2312"/>
          <w:sz w:val="32"/>
          <w:szCs w:val="32"/>
          <w:highlight w:val="yellow"/>
        </w:rPr>
        <w:t>。</w:t>
      </w:r>
      <w:r>
        <w:rPr>
          <w:rFonts w:hint="default" w:ascii="仿宋_GB2312" w:eastAsia="仿宋_GB2312" w:cs="仿宋_GB2312"/>
          <w:sz w:val="32"/>
          <w:szCs w:val="32"/>
        </w:rPr>
        <w:t>发现的问题及原因：无。下一步改进措施：无。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400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>2.抚恤</w:t>
      </w:r>
      <w:r>
        <w:rPr>
          <w:rFonts w:hint="default" w:ascii="仿宋_GB2312" w:eastAsia="仿宋_GB2312" w:cs="仿宋_GB2312"/>
          <w:sz w:val="32"/>
          <w:szCs w:val="32"/>
        </w:rPr>
        <w:t>项目绩效自评综述：项目全年预算数为</w:t>
      </w:r>
      <w:r>
        <w:rPr>
          <w:rFonts w:ascii="仿宋_GB2312" w:eastAsia="仿宋_GB2312"/>
          <w:sz w:val="32"/>
          <w:szCs w:val="32"/>
          <w:u w:val="single"/>
        </w:rPr>
        <w:t>0</w:t>
      </w:r>
      <w:r>
        <w:rPr>
          <w:rFonts w:hint="default" w:ascii="仿宋_GB2312" w:eastAsia="仿宋_GB2312" w:cs="仿宋_GB2312"/>
          <w:sz w:val="32"/>
          <w:szCs w:val="32"/>
        </w:rPr>
        <w:t>万元，执行数为</w:t>
      </w:r>
      <w:r>
        <w:rPr>
          <w:rFonts w:ascii="仿宋_GB2312" w:eastAsia="仿宋_GB2312"/>
          <w:sz w:val="32"/>
          <w:szCs w:val="32"/>
          <w:u w:val="single"/>
        </w:rPr>
        <w:t>2515.64</w:t>
      </w:r>
      <w:r>
        <w:rPr>
          <w:rFonts w:hint="default" w:ascii="仿宋_GB2312" w:eastAsia="仿宋_GB2312" w:cs="仿宋_GB2312"/>
          <w:sz w:val="32"/>
          <w:szCs w:val="32"/>
        </w:rPr>
        <w:t>万元，完成预算的</w:t>
      </w:r>
      <w:r>
        <w:rPr>
          <w:rFonts w:ascii="仿宋_GB2312" w:eastAsia="仿宋_GB2312"/>
          <w:sz w:val="32"/>
          <w:szCs w:val="32"/>
          <w:u w:val="single"/>
          <w:lang w:val="en-US"/>
        </w:rPr>
        <w:t> </w:t>
      </w:r>
      <w:r>
        <w:rPr>
          <w:rFonts w:hint="default" w:ascii="仿宋_GB2312" w:eastAsia="仿宋_GB2312" w:cs="仿宋_GB2312"/>
          <w:sz w:val="32"/>
          <w:szCs w:val="32"/>
          <w:u w:val="single"/>
        </w:rPr>
        <w:t>/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%</w:t>
      </w:r>
      <w:r>
        <w:rPr>
          <w:rFonts w:hint="default" w:ascii="仿宋_GB2312" w:eastAsia="仿宋_GB2312" w:cs="仿宋_GB2312"/>
          <w:sz w:val="32"/>
          <w:szCs w:val="32"/>
        </w:rPr>
        <w:t>。主要产出和效果：</w:t>
      </w:r>
      <w:r>
        <w:rPr>
          <w:rFonts w:hint="default" w:ascii="仿宋_GB2312" w:eastAsia="仿宋_GB2312" w:cs="仿宋_GB2312"/>
          <w:sz w:val="32"/>
          <w:szCs w:val="32"/>
          <w:highlight w:val="yellow"/>
        </w:rPr>
        <w:t>做好三属抚恤工作，按时发放义务兵优待金，做好其他各类优抚对象的安抚工作。</w:t>
      </w:r>
      <w:r>
        <w:rPr>
          <w:rFonts w:hint="default" w:ascii="仿宋_GB2312" w:eastAsia="仿宋_GB2312" w:cs="仿宋_GB2312"/>
          <w:sz w:val="32"/>
          <w:szCs w:val="32"/>
        </w:rPr>
        <w:t>发现的问题及原因：无。下一步改进措施：无。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400"/>
        <w:rPr>
          <w:rFonts w:hint="default" w:ascii="仿宋_GB2312" w:eastAsia="仿宋_GB2312" w:cs="仿宋_GB2312"/>
          <w:sz w:val="32"/>
          <w:szCs w:val="32"/>
        </w:rPr>
      </w:pPr>
      <w:r>
        <w:rPr>
          <w:rFonts w:hint="default" w:ascii="仿宋_GB2312" w:eastAsia="仿宋_GB2312" w:cs="仿宋_GB2312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  <w:u w:val="single"/>
        </w:rPr>
        <w:t>退役安置</w:t>
      </w:r>
      <w:r>
        <w:rPr>
          <w:rFonts w:hint="default" w:ascii="仿宋_GB2312" w:eastAsia="仿宋_GB2312" w:cs="仿宋_GB2312"/>
          <w:sz w:val="32"/>
          <w:szCs w:val="32"/>
        </w:rPr>
        <w:t>项目绩效自评综述：项目全年预算数为</w:t>
      </w:r>
      <w:r>
        <w:rPr>
          <w:rFonts w:ascii="仿宋_GB2312" w:eastAsia="仿宋_GB2312"/>
          <w:sz w:val="32"/>
          <w:szCs w:val="32"/>
          <w:u w:val="single"/>
        </w:rPr>
        <w:t>0</w:t>
      </w:r>
      <w:r>
        <w:rPr>
          <w:rFonts w:hint="default" w:ascii="仿宋_GB2312" w:eastAsia="仿宋_GB2312" w:cs="仿宋_GB2312"/>
          <w:sz w:val="32"/>
          <w:szCs w:val="32"/>
        </w:rPr>
        <w:t>万元，执行数为</w:t>
      </w:r>
      <w:r>
        <w:rPr>
          <w:rFonts w:ascii="仿宋_GB2312" w:eastAsia="仿宋_GB2312"/>
          <w:sz w:val="32"/>
          <w:szCs w:val="32"/>
          <w:u w:val="single"/>
        </w:rPr>
        <w:t>730.05</w:t>
      </w:r>
      <w:r>
        <w:rPr>
          <w:rFonts w:hint="default" w:ascii="仿宋_GB2312" w:eastAsia="仿宋_GB2312" w:cs="仿宋_GB2312"/>
          <w:sz w:val="32"/>
          <w:szCs w:val="32"/>
        </w:rPr>
        <w:t>万元，完成预算的</w:t>
      </w:r>
      <w:r>
        <w:rPr>
          <w:rFonts w:ascii="仿宋_GB2312" w:eastAsia="仿宋_GB2312"/>
          <w:sz w:val="32"/>
          <w:szCs w:val="32"/>
          <w:u w:val="single"/>
          <w:lang w:val="en-US"/>
        </w:rPr>
        <w:t> </w:t>
      </w:r>
      <w:r>
        <w:rPr>
          <w:rFonts w:hint="default" w:ascii="仿宋_GB2312" w:eastAsia="仿宋_GB2312" w:cs="仿宋_GB2312"/>
          <w:sz w:val="32"/>
          <w:szCs w:val="32"/>
          <w:u w:val="single"/>
        </w:rPr>
        <w:t>/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%</w:t>
      </w:r>
      <w:r>
        <w:rPr>
          <w:rFonts w:hint="default" w:ascii="仿宋_GB2312" w:eastAsia="仿宋_GB2312" w:cs="仿宋_GB2312"/>
          <w:sz w:val="32"/>
          <w:szCs w:val="32"/>
        </w:rPr>
        <w:t>。主要产出和效果：</w:t>
      </w:r>
      <w:r>
        <w:rPr>
          <w:rFonts w:hint="default" w:ascii="仿宋_GB2312" w:eastAsia="仿宋_GB2312" w:cs="仿宋_GB2312"/>
          <w:sz w:val="32"/>
          <w:szCs w:val="32"/>
          <w:highlight w:val="yellow"/>
        </w:rPr>
        <w:t>开展退役士兵的管理教育、就业和其他安置方面的工作。</w:t>
      </w:r>
      <w:r>
        <w:rPr>
          <w:rFonts w:hint="default" w:ascii="仿宋_GB2312" w:eastAsia="仿宋_GB2312" w:cs="仿宋_GB2312"/>
          <w:sz w:val="32"/>
          <w:szCs w:val="32"/>
        </w:rPr>
        <w:t>发现的问题及原因：无。下一步改进措施：无。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400"/>
        <w:rPr>
          <w:rFonts w:hint="default" w:ascii="仿宋_GB2312" w:eastAsia="仿宋_GB2312" w:cs="仿宋_GB2312"/>
          <w:sz w:val="32"/>
          <w:szCs w:val="32"/>
        </w:rPr>
      </w:pPr>
      <w:r>
        <w:rPr>
          <w:rFonts w:hint="default" w:ascii="仿宋_GB2312" w:eastAsia="仿宋_GB2312" w:cs="仿宋_GB2312"/>
          <w:sz w:val="32"/>
          <w:szCs w:val="32"/>
        </w:rPr>
        <w:t>4.</w:t>
      </w:r>
      <w:r>
        <w:rPr>
          <w:rFonts w:hint="default" w:ascii="仿宋_GB2312" w:eastAsia="仿宋_GB2312" w:cs="仿宋_GB2312"/>
          <w:sz w:val="32"/>
          <w:szCs w:val="32"/>
          <w:u w:val="single"/>
        </w:rPr>
        <w:t>拥军优属及其他日常</w:t>
      </w:r>
      <w:r>
        <w:rPr>
          <w:rFonts w:hint="default" w:ascii="仿宋_GB2312" w:eastAsia="仿宋_GB2312" w:cs="仿宋_GB2312"/>
          <w:sz w:val="32"/>
          <w:szCs w:val="32"/>
        </w:rPr>
        <w:t>工作项目绩效自评综述：项目全年预算数为</w:t>
      </w:r>
      <w:r>
        <w:rPr>
          <w:rFonts w:ascii="仿宋_GB2312" w:eastAsia="仿宋_GB2312"/>
          <w:sz w:val="32"/>
          <w:szCs w:val="32"/>
          <w:u w:val="single"/>
        </w:rPr>
        <w:t>0</w:t>
      </w:r>
      <w:r>
        <w:rPr>
          <w:rFonts w:hint="default" w:ascii="仿宋_GB2312" w:eastAsia="仿宋_GB2312" w:cs="仿宋_GB2312"/>
          <w:sz w:val="32"/>
          <w:szCs w:val="32"/>
        </w:rPr>
        <w:t>万元，执行数为</w:t>
      </w:r>
      <w:r>
        <w:rPr>
          <w:rFonts w:ascii="仿宋_GB2312" w:eastAsia="仿宋_GB2312"/>
          <w:sz w:val="32"/>
          <w:szCs w:val="32"/>
          <w:u w:val="single"/>
        </w:rPr>
        <w:t>272.96</w:t>
      </w:r>
      <w:r>
        <w:rPr>
          <w:rFonts w:hint="default" w:ascii="仿宋_GB2312" w:eastAsia="仿宋_GB2312" w:cs="仿宋_GB2312"/>
          <w:sz w:val="32"/>
          <w:szCs w:val="32"/>
        </w:rPr>
        <w:t>万元，完成预算的</w:t>
      </w:r>
      <w:r>
        <w:rPr>
          <w:rFonts w:ascii="仿宋_GB2312" w:eastAsia="仿宋_GB2312"/>
          <w:sz w:val="32"/>
          <w:szCs w:val="32"/>
          <w:u w:val="single"/>
          <w:lang w:val="en-US"/>
        </w:rPr>
        <w:t> </w:t>
      </w:r>
      <w:r>
        <w:rPr>
          <w:rFonts w:hint="default" w:ascii="仿宋_GB2312" w:eastAsia="仿宋_GB2312" w:cs="仿宋_GB2312"/>
          <w:sz w:val="32"/>
          <w:szCs w:val="32"/>
          <w:u w:val="single"/>
        </w:rPr>
        <w:t>/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%</w:t>
      </w:r>
      <w:r>
        <w:rPr>
          <w:rFonts w:hint="default" w:ascii="仿宋_GB2312" w:eastAsia="仿宋_GB2312" w:cs="仿宋_GB2312"/>
          <w:sz w:val="32"/>
          <w:szCs w:val="32"/>
        </w:rPr>
        <w:t>。主要产出和效果：</w:t>
      </w:r>
      <w:r>
        <w:rPr>
          <w:rFonts w:hint="default" w:ascii="仿宋_GB2312" w:eastAsia="仿宋_GB2312" w:cs="仿宋_GB2312"/>
          <w:sz w:val="32"/>
          <w:szCs w:val="32"/>
          <w:highlight w:val="yellow"/>
        </w:rPr>
        <w:t>用于开展拥军优属工作，保障临时人员工资，维持机关日常开支。</w:t>
      </w:r>
      <w:r>
        <w:rPr>
          <w:rFonts w:hint="default" w:ascii="仿宋_GB2312" w:eastAsia="仿宋_GB2312" w:cs="仿宋_GB2312"/>
          <w:sz w:val="32"/>
          <w:szCs w:val="32"/>
        </w:rPr>
        <w:t>发现的问题及原因：无。下一步改进措施：无。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400"/>
        <w:rPr>
          <w:rFonts w:hint="default" w:ascii="仿宋_GB2312" w:eastAsia="仿宋_GB2312" w:cs="仿宋_GB2312"/>
          <w:sz w:val="32"/>
          <w:szCs w:val="32"/>
        </w:rPr>
      </w:pPr>
      <w:r>
        <w:rPr>
          <w:rFonts w:hint="default" w:ascii="仿宋_GB2312" w:eastAsia="仿宋_GB2312" w:cs="仿宋_GB2312"/>
          <w:sz w:val="32"/>
          <w:szCs w:val="32"/>
        </w:rPr>
        <w:t>5.</w:t>
      </w:r>
      <w:r>
        <w:rPr>
          <w:rFonts w:ascii="仿宋_GB2312" w:eastAsia="仿宋_GB2312"/>
          <w:sz w:val="32"/>
          <w:szCs w:val="32"/>
          <w:u w:val="single"/>
        </w:rPr>
        <w:t>优抚对象医疗补助</w:t>
      </w:r>
      <w:r>
        <w:rPr>
          <w:rFonts w:hint="default" w:ascii="仿宋_GB2312" w:eastAsia="仿宋_GB2312" w:cs="仿宋_GB2312"/>
          <w:sz w:val="32"/>
          <w:szCs w:val="32"/>
        </w:rPr>
        <w:t>项目绩效自评综述：项目全年预算数为</w:t>
      </w:r>
      <w:r>
        <w:rPr>
          <w:rFonts w:ascii="仿宋_GB2312" w:eastAsia="仿宋_GB2312"/>
          <w:sz w:val="32"/>
          <w:szCs w:val="32"/>
          <w:u w:val="single"/>
        </w:rPr>
        <w:t>0</w:t>
      </w:r>
      <w:r>
        <w:rPr>
          <w:rFonts w:hint="default" w:ascii="仿宋_GB2312" w:eastAsia="仿宋_GB2312" w:cs="仿宋_GB2312"/>
          <w:sz w:val="32"/>
          <w:szCs w:val="32"/>
        </w:rPr>
        <w:t>万元，执行数为</w:t>
      </w:r>
      <w:r>
        <w:rPr>
          <w:rFonts w:ascii="仿宋_GB2312" w:eastAsia="仿宋_GB2312"/>
          <w:sz w:val="32"/>
          <w:szCs w:val="32"/>
          <w:u w:val="single"/>
        </w:rPr>
        <w:t>14.16</w:t>
      </w:r>
      <w:r>
        <w:rPr>
          <w:rFonts w:hint="default" w:ascii="仿宋_GB2312" w:eastAsia="仿宋_GB2312" w:cs="仿宋_GB2312"/>
          <w:sz w:val="32"/>
          <w:szCs w:val="32"/>
        </w:rPr>
        <w:t>万元，完成预算的</w:t>
      </w:r>
      <w:r>
        <w:rPr>
          <w:rFonts w:ascii="仿宋_GB2312" w:eastAsia="仿宋_GB2312"/>
          <w:sz w:val="32"/>
          <w:szCs w:val="32"/>
          <w:u w:val="single"/>
          <w:lang w:val="en-US"/>
        </w:rPr>
        <w:t> </w:t>
      </w:r>
      <w:r>
        <w:rPr>
          <w:rFonts w:hint="default" w:ascii="仿宋_GB2312" w:eastAsia="仿宋_GB2312" w:cs="仿宋_GB2312"/>
          <w:sz w:val="32"/>
          <w:szCs w:val="32"/>
          <w:u w:val="single"/>
        </w:rPr>
        <w:t>/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%</w:t>
      </w:r>
      <w:r>
        <w:rPr>
          <w:rFonts w:hint="default" w:ascii="仿宋_GB2312" w:eastAsia="仿宋_GB2312" w:cs="仿宋_GB2312"/>
          <w:sz w:val="32"/>
          <w:szCs w:val="32"/>
        </w:rPr>
        <w:t>。主要产出和效果：对优抚对象进行医疗救助</w:t>
      </w:r>
      <w:r>
        <w:rPr>
          <w:rFonts w:hint="default" w:ascii="仿宋_GB2312" w:eastAsia="仿宋_GB2312" w:cs="仿宋_GB2312"/>
          <w:sz w:val="32"/>
          <w:szCs w:val="32"/>
          <w:highlight w:val="none"/>
        </w:rPr>
        <w:t>。</w:t>
      </w:r>
      <w:r>
        <w:rPr>
          <w:rFonts w:hint="default" w:ascii="仿宋_GB2312" w:eastAsia="仿宋_GB2312" w:cs="仿宋_GB2312"/>
          <w:sz w:val="32"/>
          <w:szCs w:val="32"/>
        </w:rPr>
        <w:t>发现的问题及原因：无。下一步改进措施：无。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rPr>
          <w:rFonts w:hint="default" w:ascii="仿宋_GB2312" w:eastAsia="仿宋_GB2312" w:cs="仿宋_GB2312"/>
          <w:sz w:val="32"/>
          <w:szCs w:val="32"/>
          <w:lang w:val="en-US"/>
        </w:rPr>
      </w:pP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项目支出绩效自评表见附件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我单位为2019年新成立单位，无年初预算数，也没有年初预算绩效申报表。且2019年度所发生的支出均为政策性项目，没有部门专项经费，故无法进行项目绩效自评。2019年整体支出绩效自评表附后。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eastAsia" w:ascii="黑体" w:hAnsi="宋体" w:eastAsia="黑体" w:cs="黑体"/>
          <w:sz w:val="32"/>
          <w:szCs w:val="32"/>
        </w:rPr>
        <w:t>十、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其他重要事项情况</w:t>
      </w:r>
      <w:r>
        <w:rPr>
          <w:rFonts w:hint="eastAsia" w:ascii="黑体" w:hAnsi="宋体" w:eastAsia="黑体" w:cs="黑体"/>
          <w:sz w:val="32"/>
          <w:szCs w:val="32"/>
        </w:rPr>
        <w:t>说明</w:t>
      </w:r>
    </w:p>
    <w:p>
      <w:pPr>
        <w:keepNext w:val="0"/>
        <w:keepLines w:val="0"/>
        <w:widowControl/>
        <w:suppressLineNumbers w:val="0"/>
        <w:autoSpaceDE w:val="0"/>
        <w:autoSpaceDN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楷体_GB2312" w:eastAsia="楷体_GB2312" w:cs="楷体_GB2312"/>
          <w:sz w:val="32"/>
          <w:szCs w:val="32"/>
          <w:lang w:val="en-US"/>
        </w:rPr>
        <w:t>(</w:t>
      </w:r>
      <w:r>
        <w:rPr>
          <w:rFonts w:hint="default" w:ascii="楷体_GB2312" w:eastAsia="楷体_GB2312" w:cs="楷体_GB2312"/>
          <w:sz w:val="32"/>
          <w:szCs w:val="32"/>
        </w:rPr>
        <w:t>一</w:t>
      </w:r>
      <w:r>
        <w:rPr>
          <w:rFonts w:hint="default" w:ascii="楷体_GB2312" w:eastAsia="楷体_GB2312" w:cs="楷体_GB2312"/>
          <w:sz w:val="32"/>
          <w:szCs w:val="32"/>
          <w:lang w:val="en-US"/>
        </w:rPr>
        <w:t>)</w:t>
      </w:r>
      <w:r>
        <w:rPr>
          <w:rFonts w:hint="default" w:ascii="楷体_GB2312" w:eastAsia="楷体_GB2312" w:cs="楷体_GB2312"/>
          <w:sz w:val="32"/>
          <w:szCs w:val="32"/>
        </w:rPr>
        <w:t>机关运行经费支出情况。</w:t>
      </w:r>
    </w:p>
    <w:p>
      <w:pPr>
        <w:keepNext w:val="0"/>
        <w:keepLines w:val="0"/>
        <w:widowControl/>
        <w:suppressLineNumbers w:val="0"/>
        <w:autoSpaceDE w:val="0"/>
        <w:autoSpaceDN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仿宋_GB2312" w:eastAsia="仿宋_GB2312" w:cs="仿宋_GB2312"/>
          <w:sz w:val="32"/>
          <w:szCs w:val="32"/>
          <w:lang w:val="en-US"/>
        </w:rPr>
        <w:t>2019</w:t>
      </w:r>
      <w:r>
        <w:rPr>
          <w:rFonts w:hint="default" w:ascii="仿宋_GB2312" w:eastAsia="仿宋_GB2312" w:cs="仿宋_GB2312"/>
          <w:sz w:val="32"/>
          <w:szCs w:val="32"/>
        </w:rPr>
        <w:t>年度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武汉市青山区退役军人事务局(</w:t>
      </w:r>
      <w:r>
        <w:rPr>
          <w:rFonts w:hint="default" w:ascii="仿宋_GB2312" w:eastAsia="仿宋_GB2312" w:cs="仿宋_GB2312"/>
          <w:sz w:val="32"/>
          <w:szCs w:val="32"/>
        </w:rPr>
        <w:t>含参照公务员法管理的事业单位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机关运行经费支出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万元，比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2018</w:t>
      </w:r>
      <w:r>
        <w:rPr>
          <w:rFonts w:hint="default" w:ascii="仿宋_GB2312" w:eastAsia="仿宋_GB2312" w:cs="仿宋_GB2312"/>
          <w:sz w:val="32"/>
          <w:szCs w:val="32"/>
        </w:rPr>
        <w:t>年增加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减少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snapToGrid w:val="0"/>
        </w:rPr>
        <w:t xml:space="preserve"> </w:t>
      </w:r>
      <w:r>
        <w:rPr>
          <w:rFonts w:hint="eastAsia"/>
          <w:snapToGrid w:val="0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sz w:val="32"/>
          <w:szCs w:val="32"/>
        </w:rPr>
        <w:t>万元，增长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下降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>0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%</w:t>
      </w:r>
      <w:r>
        <w:rPr>
          <w:rFonts w:hint="default" w:ascii="仿宋_GB2312" w:eastAsia="仿宋_GB2312" w:cs="仿宋_GB2312"/>
          <w:sz w:val="32"/>
          <w:szCs w:val="32"/>
        </w:rPr>
        <w:t>。主要原因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无</w:t>
      </w:r>
      <w:r>
        <w:rPr>
          <w:rFonts w:hint="default" w:ascii="仿宋_GB2312" w:eastAsia="仿宋_GB2312" w:cs="仿宋_GB2312"/>
          <w:sz w:val="32"/>
          <w:szCs w:val="32"/>
        </w:rPr>
        <w:t>。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本项由行政单位和参照公务员法管理的事业单位进行说明。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</w:p>
    <w:p>
      <w:pPr>
        <w:keepNext w:val="0"/>
        <w:keepLines w:val="0"/>
        <w:widowControl/>
        <w:suppressLineNumbers w:val="0"/>
        <w:autoSpaceDE w:val="0"/>
        <w:autoSpaceDN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楷体_GB2312" w:eastAsia="楷体_GB2312" w:cs="楷体_GB2312"/>
          <w:sz w:val="32"/>
          <w:szCs w:val="32"/>
          <w:lang w:val="en-US"/>
        </w:rPr>
        <w:t>(</w:t>
      </w:r>
      <w:r>
        <w:rPr>
          <w:rFonts w:hint="default" w:ascii="楷体_GB2312" w:eastAsia="楷体_GB2312" w:cs="楷体_GB2312"/>
          <w:sz w:val="32"/>
          <w:szCs w:val="32"/>
        </w:rPr>
        <w:t>二</w:t>
      </w:r>
      <w:r>
        <w:rPr>
          <w:rFonts w:hint="default" w:ascii="楷体_GB2312" w:eastAsia="楷体_GB2312" w:cs="楷体_GB2312"/>
          <w:sz w:val="32"/>
          <w:szCs w:val="32"/>
          <w:lang w:val="en-US"/>
        </w:rPr>
        <w:t>)</w:t>
      </w:r>
      <w:r>
        <w:rPr>
          <w:rFonts w:hint="default" w:ascii="楷体_GB2312" w:eastAsia="楷体_GB2312" w:cs="楷体_GB2312"/>
          <w:sz w:val="32"/>
          <w:szCs w:val="32"/>
        </w:rPr>
        <w:t>政府采购支出情况。</w:t>
      </w:r>
    </w:p>
    <w:p>
      <w:pPr>
        <w:keepNext w:val="0"/>
        <w:keepLines w:val="0"/>
        <w:widowControl/>
        <w:suppressLineNumbers w:val="0"/>
        <w:autoSpaceDE w:val="0"/>
        <w:autoSpaceDN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仿宋_GB2312" w:eastAsia="仿宋_GB2312" w:cs="仿宋_GB2312"/>
          <w:sz w:val="32"/>
          <w:szCs w:val="32"/>
          <w:lang w:val="en-US"/>
        </w:rPr>
        <w:t>2019</w:t>
      </w:r>
      <w:r>
        <w:rPr>
          <w:rFonts w:hint="default" w:ascii="仿宋_GB2312" w:eastAsia="仿宋_GB2312" w:cs="仿宋_GB2312"/>
          <w:sz w:val="32"/>
          <w:szCs w:val="32"/>
        </w:rPr>
        <w:t>年度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武汉市青山区退役军人事务局</w:t>
      </w:r>
      <w:r>
        <w:rPr>
          <w:rFonts w:hint="default" w:ascii="仿宋_GB2312" w:eastAsia="仿宋_GB2312" w:cs="仿宋_GB2312"/>
          <w:sz w:val="32"/>
          <w:szCs w:val="32"/>
        </w:rPr>
        <w:t>政府采购支出总额</w:t>
      </w:r>
      <w:r>
        <w:rPr>
          <w:rFonts w:hint="eastAsia" w:eastAsia="仿宋_GB2312"/>
          <w:snapToGrid w:val="0"/>
          <w:lang w:val="en-US" w:eastAsia="zh-CN"/>
        </w:rPr>
        <w:t>24</w:t>
      </w:r>
      <w:r>
        <w:rPr>
          <w:rFonts w:hint="default" w:ascii="仿宋_GB2312" w:eastAsia="仿宋_GB2312" w:cs="仿宋_GB2312"/>
          <w:sz w:val="32"/>
          <w:szCs w:val="32"/>
        </w:rPr>
        <w:t>万元，其中：政府采购货物支出</w:t>
      </w:r>
      <w:r>
        <w:rPr>
          <w:rFonts w:hint="eastAsia" w:eastAsia="仿宋_GB2312"/>
          <w:snapToGrid w:val="0"/>
          <w:lang w:val="en-US" w:eastAsia="zh-CN"/>
        </w:rPr>
        <w:t>24</w:t>
      </w:r>
      <w:r>
        <w:rPr>
          <w:rFonts w:hint="default" w:ascii="仿宋_GB2312" w:eastAsia="仿宋_GB2312" w:cs="仿宋_GB2312"/>
          <w:sz w:val="32"/>
          <w:szCs w:val="32"/>
        </w:rPr>
        <w:t>万元、政府采购工程支出</w:t>
      </w:r>
      <w:r>
        <w:rPr>
          <w:snapToGrid w:val="0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万元、政府采购服务支出</w:t>
      </w:r>
      <w:r>
        <w:rPr>
          <w:snapToGrid w:val="0"/>
        </w:rPr>
        <w:t>0.00</w:t>
      </w:r>
      <w:r>
        <w:rPr>
          <w:rFonts w:hint="default" w:ascii="仿宋_GB2312" w:eastAsia="仿宋_GB2312" w:cs="仿宋_GB2312"/>
          <w:sz w:val="32"/>
          <w:szCs w:val="32"/>
        </w:rPr>
        <w:t>万元。授予中小企业合同金额</w:t>
      </w:r>
      <w:r>
        <w:rPr>
          <w:rFonts w:hint="eastAsia" w:eastAsia="仿宋_GB2312"/>
          <w:snapToGrid w:val="0"/>
          <w:lang w:val="en-US" w:eastAsia="zh-CN"/>
        </w:rPr>
        <w:t>24</w:t>
      </w:r>
      <w:r>
        <w:rPr>
          <w:rFonts w:hint="default" w:ascii="仿宋_GB2312" w:eastAsia="仿宋_GB2312" w:cs="仿宋_GB2312"/>
          <w:sz w:val="32"/>
          <w:szCs w:val="32"/>
        </w:rPr>
        <w:t>万元，占政府采购支出总额的</w:t>
      </w:r>
      <w:r>
        <w:rPr>
          <w:rFonts w:hint="eastAsia" w:eastAsia="仿宋_GB2312"/>
          <w:snapToGrid w:val="0"/>
          <w:lang w:val="en-US" w:eastAsia="zh-CN"/>
        </w:rPr>
        <w:t>10</w:t>
      </w:r>
      <w:r>
        <w:rPr>
          <w:snapToGrid w:val="0"/>
        </w:rPr>
        <w:t>0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%</w:t>
      </w:r>
      <w:r>
        <w:rPr>
          <w:rFonts w:hint="default" w:ascii="仿宋_GB2312" w:eastAsia="仿宋_GB2312" w:cs="仿宋_GB2312"/>
          <w:sz w:val="32"/>
          <w:szCs w:val="32"/>
        </w:rPr>
        <w:t>，其中：授予小微企业合同金额</w:t>
      </w:r>
      <w:r>
        <w:rPr>
          <w:rFonts w:hint="eastAsia" w:eastAsia="仿宋_GB2312"/>
          <w:snapToGrid w:val="0"/>
          <w:lang w:val="en-US" w:eastAsia="zh-CN"/>
        </w:rPr>
        <w:t>24</w:t>
      </w:r>
      <w:r>
        <w:rPr>
          <w:rFonts w:hint="default" w:ascii="仿宋_GB2312" w:eastAsia="仿宋_GB2312" w:cs="仿宋_GB2312"/>
          <w:sz w:val="32"/>
          <w:szCs w:val="32"/>
        </w:rPr>
        <w:t>万元，占政府采购支出总额的</w:t>
      </w:r>
      <w:r>
        <w:rPr>
          <w:rFonts w:hint="eastAsia" w:eastAsia="仿宋_GB2312"/>
          <w:snapToGrid w:val="0"/>
          <w:lang w:val="en-US" w:eastAsia="zh-CN"/>
        </w:rPr>
        <w:t>100</w:t>
      </w:r>
      <w:r>
        <w:rPr>
          <w:snapToGrid w:val="0"/>
        </w:rPr>
        <w:t>%</w:t>
      </w:r>
      <w:r>
        <w:rPr>
          <w:rFonts w:hint="default" w:asci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楷体_GB2312" w:eastAsia="楷体_GB2312" w:cs="楷体_GB2312"/>
          <w:sz w:val="32"/>
          <w:szCs w:val="32"/>
          <w:lang w:val="en-US"/>
        </w:rPr>
        <w:t>(</w:t>
      </w:r>
      <w:r>
        <w:rPr>
          <w:rFonts w:hint="default" w:ascii="楷体_GB2312" w:eastAsia="楷体_GB2312" w:cs="楷体_GB2312"/>
          <w:sz w:val="32"/>
          <w:szCs w:val="32"/>
        </w:rPr>
        <w:t>三</w:t>
      </w:r>
      <w:r>
        <w:rPr>
          <w:rFonts w:hint="default" w:ascii="楷体_GB2312" w:eastAsia="楷体_GB2312" w:cs="楷体_GB2312"/>
          <w:sz w:val="32"/>
          <w:szCs w:val="32"/>
          <w:lang w:val="en-US"/>
        </w:rPr>
        <w:t>)</w:t>
      </w:r>
      <w:r>
        <w:rPr>
          <w:rFonts w:hint="default" w:ascii="楷体_GB2312" w:eastAsia="楷体_GB2312" w:cs="楷体_GB2312"/>
          <w:sz w:val="32"/>
          <w:szCs w:val="32"/>
        </w:rPr>
        <w:t>国有资产占用情况。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 w:firstLine="640"/>
      </w:pPr>
      <w:r>
        <w:rPr>
          <w:rFonts w:hint="default" w:ascii="仿宋_GB2312" w:eastAsia="仿宋_GB2312" w:cs="仿宋_GB2312"/>
          <w:sz w:val="32"/>
          <w:szCs w:val="32"/>
        </w:rPr>
        <w:t>截至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2019</w:t>
      </w:r>
      <w:r>
        <w:rPr>
          <w:rFonts w:hint="default" w:ascii="仿宋_GB2312" w:eastAsia="仿宋_GB2312" w:cs="仿宋_GB2312"/>
          <w:sz w:val="32"/>
          <w:szCs w:val="32"/>
        </w:rPr>
        <w:t>年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12</w:t>
      </w:r>
      <w:r>
        <w:rPr>
          <w:rFonts w:hint="default" w:ascii="仿宋_GB2312" w:eastAsia="仿宋_GB2312" w:cs="仿宋_GB2312"/>
          <w:sz w:val="32"/>
          <w:szCs w:val="32"/>
        </w:rPr>
        <w:t>月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31</w:t>
      </w:r>
      <w:r>
        <w:rPr>
          <w:rFonts w:hint="default" w:ascii="仿宋_GB2312" w:eastAsia="仿宋_GB2312" w:cs="仿宋_GB2312"/>
          <w:sz w:val="32"/>
          <w:szCs w:val="32"/>
        </w:rPr>
        <w:t>日，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武汉市青山区退役军人事务局</w:t>
      </w:r>
      <w:r>
        <w:rPr>
          <w:rFonts w:hint="default" w:ascii="仿宋_GB2312" w:eastAsia="仿宋_GB2312" w:cs="仿宋_GB2312"/>
          <w:sz w:val="32"/>
          <w:szCs w:val="32"/>
        </w:rPr>
        <w:t>共有车辆</w:t>
      </w:r>
      <w:r>
        <w:rPr>
          <w:snapToGrid w:val="0"/>
        </w:rPr>
        <w:t>0</w:t>
      </w:r>
      <w:r>
        <w:rPr>
          <w:rFonts w:hint="default" w:ascii="仿宋_GB2312" w:eastAsia="仿宋_GB2312" w:cs="仿宋_GB2312"/>
          <w:sz w:val="32"/>
          <w:szCs w:val="32"/>
        </w:rPr>
        <w:t>辆，其中，副部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省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级及以上领导用车</w:t>
      </w:r>
      <w:r>
        <w:rPr>
          <w:snapToGrid w:val="0"/>
        </w:rPr>
        <w:t>0</w:t>
      </w:r>
      <w:r>
        <w:rPr>
          <w:rFonts w:hint="default" w:ascii="仿宋_GB2312" w:eastAsia="仿宋_GB2312" w:cs="仿宋_GB2312"/>
          <w:sz w:val="32"/>
          <w:szCs w:val="32"/>
        </w:rPr>
        <w:t>辆，主要领导干部用车</w:t>
      </w:r>
      <w:r>
        <w:rPr>
          <w:snapToGrid w:val="0"/>
        </w:rPr>
        <w:t>0</w:t>
      </w:r>
      <w:r>
        <w:rPr>
          <w:rFonts w:hint="default" w:ascii="仿宋_GB2312" w:eastAsia="仿宋_GB2312" w:cs="仿宋_GB2312"/>
          <w:sz w:val="32"/>
          <w:szCs w:val="32"/>
        </w:rPr>
        <w:t>辆，机要通信用车</w:t>
      </w:r>
      <w:r>
        <w:rPr>
          <w:snapToGrid w:val="0"/>
        </w:rPr>
        <w:t>0</w:t>
      </w:r>
      <w:r>
        <w:rPr>
          <w:rFonts w:hint="default" w:ascii="仿宋_GB2312" w:eastAsia="仿宋_GB2312" w:cs="仿宋_GB2312"/>
          <w:sz w:val="32"/>
          <w:szCs w:val="32"/>
        </w:rPr>
        <w:t>辆，应急保障用车</w:t>
      </w:r>
      <w:r>
        <w:rPr>
          <w:snapToGrid w:val="0"/>
        </w:rPr>
        <w:t>0</w:t>
      </w:r>
      <w:r>
        <w:rPr>
          <w:rFonts w:hint="default" w:ascii="仿宋_GB2312" w:eastAsia="仿宋_GB2312" w:cs="仿宋_GB2312"/>
          <w:sz w:val="32"/>
          <w:szCs w:val="32"/>
        </w:rPr>
        <w:t>辆、执法执勤用车</w:t>
      </w:r>
      <w:r>
        <w:rPr>
          <w:snapToGrid w:val="0"/>
        </w:rPr>
        <w:t>0</w:t>
      </w:r>
      <w:r>
        <w:rPr>
          <w:rFonts w:hint="default" w:ascii="仿宋_GB2312" w:eastAsia="仿宋_GB2312" w:cs="仿宋_GB2312"/>
          <w:sz w:val="32"/>
          <w:szCs w:val="32"/>
        </w:rPr>
        <w:t>辆、特种专业技术用车</w:t>
      </w:r>
      <w:r>
        <w:rPr>
          <w:snapToGrid w:val="0"/>
        </w:rPr>
        <w:t>0</w:t>
      </w:r>
      <w:r>
        <w:rPr>
          <w:rFonts w:hint="default" w:ascii="仿宋_GB2312" w:eastAsia="仿宋_GB2312" w:cs="仿宋_GB2312"/>
          <w:sz w:val="32"/>
          <w:szCs w:val="32"/>
        </w:rPr>
        <w:t>辆、离退休干部用车</w:t>
      </w:r>
      <w:r>
        <w:rPr>
          <w:snapToGrid w:val="0"/>
        </w:rPr>
        <w:t>0</w:t>
      </w:r>
      <w:r>
        <w:rPr>
          <w:rFonts w:hint="default" w:ascii="仿宋_GB2312" w:eastAsia="仿宋_GB2312" w:cs="仿宋_GB2312"/>
          <w:sz w:val="32"/>
          <w:szCs w:val="32"/>
        </w:rPr>
        <w:t>辆、其他用车</w:t>
      </w:r>
      <w:r>
        <w:rPr>
          <w:snapToGrid w:val="0"/>
        </w:rPr>
        <w:t>0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40" w:lineRule="atLeast"/>
        <w:ind w:left="0" w:right="0"/>
      </w:pPr>
      <w:r>
        <w:rPr>
          <w:rFonts w:hint="default" w:ascii="仿宋_GB2312" w:eastAsia="仿宋_GB2312" w:cs="仿宋_GB2312"/>
          <w:sz w:val="32"/>
          <w:szCs w:val="32"/>
        </w:rPr>
        <w:t>辆，其他用车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无</w:t>
      </w:r>
      <w:r>
        <w:rPr>
          <w:rFonts w:hint="default" w:ascii="仿宋_GB2312" w:eastAsia="仿宋_GB2312" w:cs="仿宋_GB2312"/>
          <w:sz w:val="32"/>
          <w:szCs w:val="32"/>
        </w:rPr>
        <w:t>；单价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 xml:space="preserve">50 </w:t>
      </w:r>
      <w:r>
        <w:rPr>
          <w:rFonts w:hint="default" w:ascii="仿宋_GB2312" w:eastAsia="仿宋_GB2312" w:cs="仿宋_GB2312"/>
          <w:sz w:val="32"/>
          <w:szCs w:val="32"/>
        </w:rPr>
        <w:t>万元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含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以上通用设备</w:t>
      </w:r>
    </w:p>
    <w:p>
      <w:r>
        <w:rPr>
          <w:rFonts w:ascii="仿宋_GB2312" w:eastAsia="仿宋_GB2312"/>
          <w:sz w:val="32"/>
          <w:szCs w:val="32"/>
          <w:u w:val="single"/>
          <w:lang w:val="en-US"/>
        </w:rPr>
        <w:t> </w:t>
      </w:r>
      <w:r>
        <w:rPr>
          <w:snapToGrid w:val="0"/>
        </w:rPr>
        <w:t>0</w:t>
      </w:r>
      <w:r>
        <w:rPr>
          <w:rFonts w:hint="default" w:ascii="仿宋_GB2312" w:eastAsia="仿宋_GB2312" w:cs="仿宋_GB2312"/>
          <w:sz w:val="32"/>
          <w:szCs w:val="32"/>
        </w:rPr>
        <w:t>台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套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，单价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100</w:t>
      </w:r>
      <w:r>
        <w:rPr>
          <w:rFonts w:hint="default" w:ascii="仿宋_GB2312" w:eastAsia="仿宋_GB2312" w:cs="仿宋_GB2312"/>
          <w:sz w:val="32"/>
          <w:szCs w:val="32"/>
        </w:rPr>
        <w:t>万元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含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以上专用设备</w:t>
      </w:r>
      <w:r>
        <w:rPr>
          <w:snapToGrid w:val="0"/>
        </w:rPr>
        <w:t>0</w:t>
      </w:r>
      <w:r>
        <w:rPr>
          <w:rFonts w:hint="default" w:ascii="仿宋_GB2312" w:eastAsia="仿宋_GB2312" w:cs="仿宋_GB2312"/>
          <w:sz w:val="32"/>
          <w:szCs w:val="32"/>
        </w:rPr>
        <w:t>台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(</w:t>
      </w:r>
      <w:r>
        <w:rPr>
          <w:rFonts w:hint="default" w:ascii="仿宋_GB2312" w:eastAsia="仿宋_GB2312" w:cs="仿宋_GB2312"/>
          <w:sz w:val="32"/>
          <w:szCs w:val="32"/>
        </w:rPr>
        <w:t>套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)</w:t>
      </w:r>
      <w:r>
        <w:rPr>
          <w:rFonts w:hint="default" w:ascii="仿宋_GB2312" w:eastAsia="仿宋_GB2312" w:cs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B1FEA"/>
    <w:rsid w:val="007A77BF"/>
    <w:rsid w:val="00CA3A61"/>
    <w:rsid w:val="03F13ECE"/>
    <w:rsid w:val="05A23AE8"/>
    <w:rsid w:val="11EA3AAF"/>
    <w:rsid w:val="1C4C77A2"/>
    <w:rsid w:val="239A6E40"/>
    <w:rsid w:val="25316255"/>
    <w:rsid w:val="260E4386"/>
    <w:rsid w:val="2A9D0762"/>
    <w:rsid w:val="2EAF0714"/>
    <w:rsid w:val="3BA00D83"/>
    <w:rsid w:val="3F0BFF8B"/>
    <w:rsid w:val="4D014F96"/>
    <w:rsid w:val="4EE45DB2"/>
    <w:rsid w:val="543B48FB"/>
    <w:rsid w:val="5685074D"/>
    <w:rsid w:val="5A3812F3"/>
    <w:rsid w:val="5A3B1FEA"/>
    <w:rsid w:val="5CC67C2C"/>
    <w:rsid w:val="5E4D4297"/>
    <w:rsid w:val="5FADA46D"/>
    <w:rsid w:val="60AE377E"/>
    <w:rsid w:val="610C5527"/>
    <w:rsid w:val="673D7C74"/>
    <w:rsid w:val="691B6FFF"/>
    <w:rsid w:val="6B8F407E"/>
    <w:rsid w:val="6BA74D8E"/>
    <w:rsid w:val="735C14F1"/>
    <w:rsid w:val="735D5562"/>
    <w:rsid w:val="7378765F"/>
    <w:rsid w:val="761023D4"/>
    <w:rsid w:val="7C5E7CCC"/>
    <w:rsid w:val="F7EFD18A"/>
    <w:rsid w:val="FDFF2379"/>
    <w:rsid w:val="FF9D2FDE"/>
    <w:rsid w:val="FFC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20915;&#31639;\2019&#20915;&#31639;&#20844;&#24320;\&#20915;&#31639;&#20844;&#24320;&#25991;&#26723;&#37197;&#22270;&#27169;&#26495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20915;&#31639;\2019&#20915;&#31639;&#20844;&#24320;\&#20915;&#31639;&#20844;&#24320;&#25991;&#26723;&#37197;&#22270;&#27169;&#26495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20915;&#31639;\2019&#20915;&#31639;&#20844;&#24320;\&#20915;&#31639;&#20844;&#24320;&#25991;&#26723;&#37197;&#22270;&#27169;&#26495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20915;&#31639;\2019&#20915;&#31639;&#20844;&#24320;\&#20915;&#31639;&#20844;&#24320;&#25991;&#26723;&#37197;&#22270;&#27169;&#26495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875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t>图一</a:t>
            </a:r>
            <a:endParaRPr sz="875" b="0" i="0" u="none" strike="noStrike" baseline="0">
              <a:solidFill>
                <a:srgbClr val="000000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442404006677796"/>
          <c:y val="0.0344827586206897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517529215358932"/>
          <c:y val="0.145320371815795"/>
          <c:w val="0.86644407345576"/>
          <c:h val="0.76108465917085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25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[决算公开文档配图模板.xls]公开用图表模板!$A$1:$B$1</c:f>
              <c:strCache>
                <c:ptCount val="2"/>
                <c:pt idx="0">
                  <c:v>2018年</c:v>
                </c:pt>
                <c:pt idx="1">
                  <c:v>2019年</c:v>
                </c:pt>
              </c:strCache>
            </c:strRef>
          </c:cat>
          <c:val>
            <c:numRef>
              <c:f>[决算公开文档配图模板.xls]公开用图表模板!$A$2:$B$2</c:f>
              <c:numCache>
                <c:formatCode>#,##0.00</c:formatCode>
                <c:ptCount val="2"/>
                <c:pt idx="0">
                  <c:v>0</c:v>
                </c:pt>
                <c:pt idx="1">
                  <c:v>3987.09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558841953"/>
        <c:axId val="74503071"/>
      </c:barChart>
      <c:catAx>
        <c:axId val="558841953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825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74503071"/>
        <c:crosses val="autoZero"/>
        <c:auto val="1"/>
        <c:lblAlgn val="ctr"/>
        <c:lblOffset val="100"/>
        <c:tickLblSkip val="1"/>
        <c:noMultiLvlLbl val="0"/>
      </c:catAx>
      <c:valAx>
        <c:axId val="74503071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rgbClr val="000000">
                  <a:alpha val="100000"/>
                </a:srgbClr>
              </a:solidFill>
              <a:prstDash val="solid"/>
              <a:round/>
            </a:ln>
          </c:spPr>
        </c:majorGridlines>
        <c:numFmt formatCode="#,##0.00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825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558841953"/>
        <c:crosses val="autoZero"/>
        <c:crossBetween val="between"/>
      </c:valAx>
      <c:spPr>
        <a:solidFill>
          <a:srgbClr val="FFFFFF">
            <a:alpha val="100000"/>
          </a:srgbClr>
        </a:solidFill>
        <a:ln w="12700">
          <a:solidFill>
            <a:srgbClr val="808080">
              <a:alpha val="100000"/>
            </a:srgbClr>
          </a:solidFill>
          <a:prstDash val="solid"/>
        </a:ln>
      </c:spPr>
    </c:plotArea>
    <c:plotVisOnly val="1"/>
    <c:dispBlanksAs val="gap"/>
    <c:showDLblsOverMax val="0"/>
  </c:chart>
  <c:spPr>
    <a:solidFill>
      <a:srgbClr val="FFFFFF">
        <a:alpha val="100000"/>
      </a:srgbClr>
    </a:solidFill>
    <a:ln w="3175" cap="flat" cmpd="sng" algn="ctr">
      <a:solidFill>
        <a:srgbClr val="000000">
          <a:alpha val="100000"/>
        </a:srgbClr>
      </a:solidFill>
      <a:prstDash val="solid"/>
      <a:round/>
    </a:ln>
  </c:spPr>
  <c:txPr>
    <a:bodyPr rot="0" wrap="square" anchor="ctr" anchorCtr="1"/>
    <a:lstStyle/>
    <a:p>
      <a:pPr>
        <a:defRPr lang="zh-CN" sz="875" b="0" i="0" u="none" strike="noStrike" baseline="0">
          <a:solidFill>
            <a:srgbClr val="000000">
              <a:alpha val="100000"/>
            </a:srgbClr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75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t>图二</a:t>
            </a:r>
            <a:endParaRPr sz="975" b="0" i="0" u="none" strike="noStrike" baseline="0">
              <a:solidFill>
                <a:srgbClr val="000000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835797766658478"/>
          <c:y val="0.036945812807881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90640860146084"/>
          <c:y val="0.229064314896084"/>
          <c:w val="0.418719883261307"/>
          <c:h val="0.628079573102165"/>
        </c:manualLayout>
      </c:layout>
      <c:pieChart>
        <c:varyColors val="1"/>
        <c:ser>
          <c:idx val="0"/>
          <c:order val="0"/>
          <c:spPr>
            <a:solidFill>
              <a:srgbClr val="9999FF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explosion val="0"/>
          <c:dPt>
            <c:idx val="0"/>
            <c:bubble3D val="0"/>
            <c:explosion val="0"/>
            <c:spPr>
              <a:solidFill>
                <a:srgbClr val="9999FF">
                  <a:alpha val="100000"/>
                </a:srgbClr>
              </a:solidFill>
              <a:ln w="12700">
                <a:solidFill>
                  <a:srgbClr val="000000">
                    <a:alpha val="100000"/>
                  </a:srgbClr>
                </a:solidFill>
                <a:prstDash val="solid"/>
              </a:ln>
            </c:spPr>
          </c:dPt>
          <c:dPt>
            <c:idx val="1"/>
            <c:bubble3D val="0"/>
            <c:explosion val="0"/>
            <c:spPr>
              <a:solidFill>
                <a:srgbClr val="993366">
                  <a:alpha val="100000"/>
                </a:srgbClr>
              </a:solidFill>
              <a:ln w="12700">
                <a:solidFill>
                  <a:srgbClr val="000000">
                    <a:alpha val="100000"/>
                  </a:srgbClr>
                </a:solidFill>
                <a:prstDash val="solid"/>
              </a:ln>
            </c:spPr>
          </c:dPt>
          <c:dPt>
            <c:idx val="2"/>
            <c:bubble3D val="0"/>
            <c:explosion val="0"/>
            <c:spPr>
              <a:solidFill>
                <a:srgbClr val="FFFFCC">
                  <a:alpha val="100000"/>
                </a:srgbClr>
              </a:solidFill>
              <a:ln w="12700">
                <a:solidFill>
                  <a:srgbClr val="000000">
                    <a:alpha val="100000"/>
                  </a:srgbClr>
                </a:solidFill>
                <a:prstDash val="solid"/>
              </a:ln>
            </c:spPr>
          </c:dPt>
          <c:dPt>
            <c:idx val="3"/>
            <c:bubble3D val="0"/>
            <c:explosion val="0"/>
            <c:spPr>
              <a:solidFill>
                <a:srgbClr val="CCFFFF">
                  <a:alpha val="100000"/>
                </a:srgbClr>
              </a:solidFill>
              <a:ln w="12700">
                <a:solidFill>
                  <a:srgbClr val="000000">
                    <a:alpha val="100000"/>
                  </a:srgbClr>
                </a:solidFill>
                <a:prstDash val="solid"/>
              </a:ln>
            </c:spPr>
          </c:dPt>
          <c:dPt>
            <c:idx val="4"/>
            <c:bubble3D val="0"/>
            <c:explosion val="0"/>
            <c:spPr>
              <a:solidFill>
                <a:srgbClr val="660066">
                  <a:alpha val="100000"/>
                </a:srgbClr>
              </a:solidFill>
              <a:ln w="12700">
                <a:solidFill>
                  <a:srgbClr val="000000">
                    <a:alpha val="100000"/>
                  </a:srgbClr>
                </a:solidFill>
                <a:prstDash val="solid"/>
              </a:ln>
            </c:spPr>
          </c:dPt>
          <c:dPt>
            <c:idx val="5"/>
            <c:bubble3D val="0"/>
            <c:explosion val="0"/>
            <c:spPr>
              <a:solidFill>
                <a:srgbClr val="FF8080">
                  <a:alpha val="100000"/>
                </a:srgbClr>
              </a:solidFill>
              <a:ln w="12700">
                <a:solidFill>
                  <a:srgbClr val="000000">
                    <a:alpha val="100000"/>
                  </a:srgbClr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0414443022208431"/>
                  <c:y val="-0.00145792120812486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89475006108734"/>
                  <c:y val="-0.114758577906348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31653046731722"/>
                  <c:y val="-0.10357821073409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32631357059797"/>
                  <c:y val="-0.115137353787009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183418172484489"/>
                  <c:y val="0.0229546063131753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188959300902314"/>
                  <c:y val="-0.0496838314351754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75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[决算公开文档配图模板.xls]公开用图表模板!$C$1:$H$1</c:f>
              <c:strCache>
                <c:ptCount val="6"/>
                <c:pt idx="0">
                  <c:v>财政拨款收入</c:v>
                </c:pt>
                <c:pt idx="1">
                  <c:v>上级补助收入</c:v>
                </c:pt>
                <c:pt idx="2">
                  <c:v>事业收入</c:v>
                </c:pt>
                <c:pt idx="3">
                  <c:v>经营收入</c:v>
                </c:pt>
                <c:pt idx="4">
                  <c:v>附属单位上缴收入</c:v>
                </c:pt>
                <c:pt idx="5">
                  <c:v>其他收入</c:v>
                </c:pt>
              </c:strCache>
            </c:strRef>
          </c:cat>
          <c:val>
            <c:numRef>
              <c:f>[决算公开文档配图模板.xls]公开用图表模板!$C$2:$H$2</c:f>
              <c:numCache>
                <c:formatCode>#,##0.00</c:formatCode>
                <c:ptCount val="6"/>
                <c:pt idx="0">
                  <c:v>3987.09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rgbClr val="FFFFFF">
        <a:alpha val="100000"/>
      </a:srgbClr>
    </a:solidFill>
    <a:ln w="3175" cap="flat" cmpd="sng" algn="ctr">
      <a:solidFill>
        <a:srgbClr val="000000">
          <a:alpha val="100000"/>
        </a:srgbClr>
      </a:solidFill>
      <a:prstDash val="solid"/>
      <a:round/>
    </a:ln>
  </c:spPr>
  <c:txPr>
    <a:bodyPr rot="0" wrap="square" anchor="ctr" anchorCtr="1"/>
    <a:lstStyle/>
    <a:p>
      <a:pPr>
        <a:defRPr lang="zh-CN" sz="975" b="0" i="0" u="none" strike="noStrike" baseline="0">
          <a:solidFill>
            <a:srgbClr val="000000">
              <a:alpha val="100000"/>
            </a:srgbClr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875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t>图三</a:t>
            </a:r>
            <a:endParaRPr sz="875" b="0" i="0" u="none" strike="noStrike" baseline="0">
              <a:solidFill>
                <a:srgbClr val="000000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840001399825022"/>
          <c:y val="0.0389972144846797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36667051866946"/>
          <c:y val="0.214484679665738"/>
          <c:w val="0.413334006077484"/>
          <c:h val="0.690807799442897"/>
        </c:manualLayout>
      </c:layout>
      <c:pieChart>
        <c:varyColors val="1"/>
        <c:ser>
          <c:idx val="0"/>
          <c:order val="0"/>
          <c:spPr>
            <a:solidFill>
              <a:srgbClr val="9999FF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explosion val="0"/>
          <c:dPt>
            <c:idx val="0"/>
            <c:bubble3D val="0"/>
            <c:explosion val="0"/>
            <c:spPr>
              <a:solidFill>
                <a:srgbClr val="9999FF">
                  <a:alpha val="100000"/>
                </a:srgbClr>
              </a:solidFill>
              <a:ln w="12700">
                <a:solidFill>
                  <a:srgbClr val="000000">
                    <a:alpha val="100000"/>
                  </a:srgbClr>
                </a:solidFill>
                <a:prstDash val="solid"/>
              </a:ln>
            </c:spPr>
          </c:dPt>
          <c:dPt>
            <c:idx val="1"/>
            <c:bubble3D val="0"/>
            <c:explosion val="0"/>
            <c:spPr>
              <a:solidFill>
                <a:srgbClr val="993366">
                  <a:alpha val="100000"/>
                </a:srgbClr>
              </a:solidFill>
              <a:ln w="12700">
                <a:solidFill>
                  <a:srgbClr val="000000">
                    <a:alpha val="100000"/>
                  </a:srgbClr>
                </a:solidFill>
                <a:prstDash val="solid"/>
              </a:ln>
            </c:spPr>
          </c:dPt>
          <c:dPt>
            <c:idx val="2"/>
            <c:bubble3D val="0"/>
            <c:explosion val="0"/>
            <c:spPr>
              <a:solidFill>
                <a:srgbClr val="FFFFCC">
                  <a:alpha val="100000"/>
                </a:srgbClr>
              </a:solidFill>
              <a:ln w="12700">
                <a:solidFill>
                  <a:srgbClr val="000000">
                    <a:alpha val="100000"/>
                  </a:srgbClr>
                </a:solidFill>
                <a:prstDash val="solid"/>
              </a:ln>
            </c:spPr>
          </c:dPt>
          <c:dPt>
            <c:idx val="3"/>
            <c:bubble3D val="0"/>
            <c:explosion val="0"/>
            <c:spPr>
              <a:solidFill>
                <a:srgbClr val="CCFFFF">
                  <a:alpha val="100000"/>
                </a:srgbClr>
              </a:solidFill>
              <a:ln w="12700">
                <a:solidFill>
                  <a:srgbClr val="000000">
                    <a:alpha val="100000"/>
                  </a:srgbClr>
                </a:solidFill>
                <a:prstDash val="solid"/>
              </a:ln>
            </c:spPr>
          </c:dPt>
          <c:dPt>
            <c:idx val="4"/>
            <c:bubble3D val="0"/>
            <c:explosion val="0"/>
            <c:spPr>
              <a:solidFill>
                <a:srgbClr val="660066">
                  <a:alpha val="100000"/>
                </a:srgbClr>
              </a:solidFill>
              <a:ln w="12700">
                <a:solidFill>
                  <a:srgbClr val="000000">
                    <a:alpha val="100000"/>
                  </a:srgbClr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199716166420802"/>
                  <c:y val="0.0838478497692144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658117235345582"/>
                  <c:y val="-0.0380201639140511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69863884268132"/>
                  <c:y val="-0.0450610768310786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76196006306111"/>
                  <c:y val="0.019277904157245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0443944043447098"/>
                  <c:y val="-0.00636496747271677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75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0936863543788"/>
                      <c:h val="0.17875920084122"/>
                    </c:manualLayout>
                  </c15:layout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75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[决算公开文档配图模板.xls]公开用图表模板!$I$1:$M$1</c:f>
              <c:strCache>
                <c:ptCount val="5"/>
                <c:pt idx="0">
                  <c:v>基本支出</c:v>
                </c:pt>
                <c:pt idx="1">
                  <c:v>项目支出</c:v>
                </c:pt>
                <c:pt idx="2">
                  <c:v>上缴上级支出</c:v>
                </c:pt>
                <c:pt idx="3">
                  <c:v>经营支出</c:v>
                </c:pt>
                <c:pt idx="4">
                  <c:v>对附属单位补助支出</c:v>
                </c:pt>
              </c:strCache>
            </c:strRef>
          </c:cat>
          <c:val>
            <c:numRef>
              <c:f>[决算公开文档配图模板.xls]公开用图表模板!$I$2:$M$2</c:f>
              <c:numCache>
                <c:formatCode>#,##0.00</c:formatCode>
                <c:ptCount val="5"/>
                <c:pt idx="0">
                  <c:v>66.38</c:v>
                </c:pt>
                <c:pt idx="1">
                  <c:v>3920.71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rgbClr val="FFFFFF">
        <a:alpha val="100000"/>
      </a:srgbClr>
    </a:solidFill>
    <a:ln w="3175" cap="flat" cmpd="sng" algn="ctr">
      <a:solidFill>
        <a:srgbClr val="000000">
          <a:alpha val="100000"/>
        </a:srgbClr>
      </a:solidFill>
      <a:prstDash val="solid"/>
      <a:round/>
    </a:ln>
  </c:spPr>
  <c:txPr>
    <a:bodyPr rot="0" wrap="square" anchor="ctr" anchorCtr="1"/>
    <a:lstStyle/>
    <a:p>
      <a:pPr>
        <a:defRPr lang="zh-CN" sz="875" b="0" i="0" u="none" strike="noStrike" baseline="0">
          <a:solidFill>
            <a:srgbClr val="000000">
              <a:alpha val="100000"/>
            </a:srgbClr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t>图四</a:t>
            </a:r>
            <a:endParaRPr sz="1000" b="0" i="0" u="none" strike="noStrike" baseline="0">
              <a:solidFill>
                <a:srgbClr val="000000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47775981873765"/>
          <c:y val="0.0361111111111111"/>
        </c:manualLayout>
      </c:layout>
      <c:overlay val="0"/>
      <c:spPr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642504635457935"/>
          <c:y val="0.161111548154156"/>
          <c:w val="0.912686071906913"/>
          <c:h val="0.72500196669370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delete val="1"/>
          </c:dLbls>
          <c:cat>
            <c:strRef>
              <c:f>[决算公开文档配图模板.xls]公开用图表模板!$N$1:$O$1</c:f>
              <c:strCache>
                <c:ptCount val="2"/>
                <c:pt idx="0">
                  <c:v>2018年</c:v>
                </c:pt>
                <c:pt idx="1">
                  <c:v>2019年</c:v>
                </c:pt>
              </c:strCache>
            </c:strRef>
          </c:cat>
          <c:val>
            <c:numRef>
              <c:f>[决算公开文档配图模板.xls]公开用图表模板!$N$2:$O$2</c:f>
              <c:numCache>
                <c:formatCode>#,##0.00</c:formatCode>
                <c:ptCount val="2"/>
                <c:pt idx="0">
                  <c:v>0</c:v>
                </c:pt>
                <c:pt idx="1">
                  <c:v>3987.09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768642217"/>
        <c:axId val="850186367"/>
      </c:barChart>
      <c:catAx>
        <c:axId val="768642217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875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850186367"/>
        <c:crosses val="autoZero"/>
        <c:auto val="1"/>
        <c:lblAlgn val="ctr"/>
        <c:lblOffset val="100"/>
        <c:tickLblSkip val="1"/>
        <c:noMultiLvlLbl val="0"/>
      </c:catAx>
      <c:valAx>
        <c:axId val="850186367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rgbClr val="000000">
                  <a:alpha val="100000"/>
                </a:srgbClr>
              </a:solidFill>
              <a:prstDash val="solid"/>
              <a:round/>
            </a:ln>
          </c:spPr>
        </c:majorGridlines>
        <c:numFmt formatCode="#,##0.00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875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768642217"/>
        <c:crosses val="autoZero"/>
        <c:crossBetween val="between"/>
      </c:valAx>
      <c:spPr>
        <a:solidFill>
          <a:srgbClr val="FFFFFF">
            <a:alpha val="100000"/>
          </a:srgbClr>
        </a:solidFill>
        <a:ln w="12700">
          <a:solidFill>
            <a:srgbClr val="808080">
              <a:alpha val="100000"/>
            </a:srgbClr>
          </a:solidFill>
          <a:prstDash val="solid"/>
        </a:ln>
      </c:spPr>
    </c:plotArea>
    <c:plotVisOnly val="1"/>
    <c:dispBlanksAs val="gap"/>
    <c:showDLblsOverMax val="0"/>
  </c:chart>
  <c:spPr>
    <a:solidFill>
      <a:srgbClr val="FFFFFF">
        <a:alpha val="100000"/>
      </a:srgbClr>
    </a:solidFill>
    <a:ln w="3175" cap="flat" cmpd="sng" algn="ctr">
      <a:solidFill>
        <a:srgbClr val="000000">
          <a:alpha val="100000"/>
        </a:srgbClr>
      </a:solidFill>
      <a:prstDash val="solid"/>
      <a:round/>
    </a:ln>
  </c:spPr>
  <c:txPr>
    <a:bodyPr rot="0" wrap="square" anchor="ctr" anchorCtr="1"/>
    <a:lstStyle/>
    <a:p>
      <a:pPr>
        <a:defRPr lang="zh-CN" sz="875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2020-10-23T10:47:00Z</dcterms:created>
  <dc:creator>sunfor</dc:creator>
  <cp:lastModifiedBy>Administrator</cp:lastModifiedBy>
  <dcterms:modified xsi:type="dcterms:W3CDTF">2020-10-27T09:06:47Z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