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0BF16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华文中宋" w:hAnsi="华文中宋" w:eastAsia="华文中宋" w:cs="华文中宋"/>
          <w:b/>
          <w:bCs/>
          <w:sz w:val="36"/>
          <w:szCs w:val="36"/>
          <w:lang w:val="en-US" w:eastAsia="zh-CN"/>
        </w:rPr>
      </w:pPr>
    </w:p>
    <w:p w14:paraId="5F6C6440">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华文中宋" w:hAnsi="华文中宋" w:eastAsia="华文中宋" w:cs="华文中宋"/>
          <w:b/>
          <w:bCs/>
          <w:sz w:val="36"/>
          <w:szCs w:val="36"/>
          <w:lang w:val="en-US" w:eastAsia="zh-CN"/>
        </w:rPr>
      </w:pPr>
      <w:r>
        <w:rPr>
          <w:rFonts w:hint="eastAsia" w:ascii="华文中宋" w:hAnsi="华文中宋" w:eastAsia="华文中宋" w:cs="华文中宋"/>
          <w:b/>
          <w:bCs/>
          <w:sz w:val="36"/>
          <w:szCs w:val="36"/>
          <w:lang w:val="en-US" w:eastAsia="zh-CN"/>
        </w:rPr>
        <w:t>武汉市青山区人民政府</w:t>
      </w:r>
    </w:p>
    <w:p w14:paraId="2A1731CD">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华文中宋" w:hAnsi="华文中宋" w:eastAsia="华文中宋" w:cs="华文中宋"/>
          <w:b/>
          <w:bCs/>
          <w:sz w:val="36"/>
          <w:szCs w:val="36"/>
          <w:lang w:val="en-US" w:eastAsia="zh-CN"/>
        </w:rPr>
      </w:pPr>
      <w:r>
        <w:rPr>
          <w:rFonts w:hint="eastAsia" w:ascii="华文中宋" w:hAnsi="华文中宋" w:eastAsia="华文中宋" w:cs="华文中宋"/>
          <w:b/>
          <w:bCs/>
          <w:sz w:val="36"/>
          <w:szCs w:val="36"/>
          <w:lang w:val="en-US" w:eastAsia="zh-CN"/>
        </w:rPr>
        <w:t>关于划定禁止</w:t>
      </w:r>
      <w:r>
        <w:rPr>
          <w:rFonts w:hint="eastAsia" w:ascii="华文中宋" w:hAnsi="华文中宋" w:eastAsia="华文中宋" w:cs="华文中宋"/>
          <w:b/>
          <w:bCs/>
          <w:sz w:val="36"/>
          <w:szCs w:val="36"/>
        </w:rPr>
        <w:t>露天烧烤区域</w:t>
      </w:r>
      <w:r>
        <w:rPr>
          <w:rFonts w:hint="eastAsia" w:ascii="华文中宋" w:hAnsi="华文中宋" w:eastAsia="华文中宋" w:cs="华文中宋"/>
          <w:b/>
          <w:bCs/>
          <w:sz w:val="36"/>
          <w:szCs w:val="36"/>
          <w:lang w:val="en-US" w:eastAsia="zh-CN"/>
        </w:rPr>
        <w:t>的通告</w:t>
      </w:r>
    </w:p>
    <w:p w14:paraId="51A9F081">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华文中宋" w:hAnsi="华文中宋" w:eastAsia="华文中宋" w:cs="华文中宋"/>
          <w:b/>
          <w:bCs/>
          <w:sz w:val="36"/>
          <w:szCs w:val="36"/>
        </w:rPr>
      </w:pPr>
      <w:r>
        <w:rPr>
          <w:rFonts w:hint="eastAsia" w:ascii="方正楷体_GB2312" w:hAnsi="方正楷体_GB2312" w:eastAsia="方正楷体_GB2312" w:cs="方正楷体_GB2312"/>
          <w:b/>
          <w:bCs/>
          <w:sz w:val="32"/>
          <w:szCs w:val="32"/>
        </w:rPr>
        <w:t>（</w:t>
      </w:r>
      <w:r>
        <w:rPr>
          <w:rFonts w:hint="eastAsia" w:ascii="方正楷体_GB2312" w:hAnsi="方正楷体_GB2312" w:eastAsia="方正楷体_GB2312" w:cs="方正楷体_GB2312"/>
          <w:b/>
          <w:bCs/>
          <w:sz w:val="32"/>
          <w:szCs w:val="32"/>
          <w:lang w:val="en-US" w:eastAsia="zh-CN"/>
        </w:rPr>
        <w:t>征求意见稿</w:t>
      </w:r>
      <w:r>
        <w:rPr>
          <w:rFonts w:hint="eastAsia" w:ascii="方正楷体_GB2312" w:hAnsi="方正楷体_GB2312" w:eastAsia="方正楷体_GB2312" w:cs="方正楷体_GB2312"/>
          <w:b/>
          <w:bCs/>
          <w:sz w:val="32"/>
          <w:szCs w:val="32"/>
        </w:rPr>
        <w:t>）</w:t>
      </w:r>
      <w:r>
        <w:rPr>
          <w:rFonts w:hint="eastAsia" w:ascii="华文中宋" w:hAnsi="华文中宋" w:eastAsia="华文中宋" w:cs="华文中宋"/>
          <w:b/>
          <w:bCs/>
          <w:sz w:val="36"/>
          <w:szCs w:val="36"/>
        </w:rPr>
        <w:t>​</w:t>
      </w:r>
    </w:p>
    <w:p w14:paraId="6C95517C">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default" w:ascii="Calibri" w:hAnsi="Calibri" w:eastAsia="方正仿宋_GB2312" w:cs="方正仿宋_GB2312"/>
          <w:sz w:val="32"/>
          <w:szCs w:val="32"/>
          <w:lang w:val="en-US" w:eastAsia="zh-CN"/>
        </w:rPr>
      </w:pPr>
      <w:r>
        <w:rPr>
          <w:rFonts w:hint="default" w:ascii="Calibri" w:hAnsi="Calibri" w:eastAsia="方正仿宋_GB2312" w:cs="方正仿宋_GB2312"/>
          <w:sz w:val="32"/>
          <w:szCs w:val="32"/>
        </w:rPr>
        <w:br w:type="textWrapping"/>
      </w:r>
      <w:r>
        <w:rPr>
          <w:rFonts w:hint="eastAsia" w:ascii="Calibri" w:hAnsi="Calibri" w:eastAsia="方正仿宋_GB2312" w:cs="方正仿宋_GB2312"/>
          <w:sz w:val="32"/>
          <w:szCs w:val="32"/>
          <w:lang w:val="en-US" w:eastAsia="zh-CN"/>
        </w:rPr>
        <w:t xml:space="preserve">    </w:t>
      </w:r>
      <w:r>
        <w:rPr>
          <w:rFonts w:hint="eastAsia" w:ascii="仿宋" w:hAnsi="仿宋" w:eastAsia="仿宋" w:cs="仿宋"/>
          <w:sz w:val="32"/>
          <w:szCs w:val="32"/>
        </w:rPr>
        <w:t>为防治大气污染，</w:t>
      </w:r>
      <w:r>
        <w:rPr>
          <w:rFonts w:hint="eastAsia" w:ascii="仿宋" w:hAnsi="仿宋" w:eastAsia="仿宋" w:cs="仿宋"/>
          <w:sz w:val="32"/>
          <w:szCs w:val="32"/>
          <w:lang w:val="en-US" w:eastAsia="zh-CN"/>
        </w:rPr>
        <w:t>改善空气质量，维护市容环境秩序，保证群众身体健康，持续提升</w:t>
      </w:r>
      <w:r>
        <w:rPr>
          <w:rFonts w:hint="eastAsia" w:ascii="仿宋" w:hAnsi="仿宋" w:eastAsia="仿宋" w:cs="仿宋"/>
          <w:sz w:val="32"/>
          <w:szCs w:val="32"/>
        </w:rPr>
        <w:t>人居环境</w:t>
      </w:r>
      <w:r>
        <w:rPr>
          <w:rFonts w:hint="eastAsia" w:ascii="仿宋" w:hAnsi="仿宋" w:eastAsia="仿宋" w:cs="仿宋"/>
          <w:sz w:val="32"/>
          <w:szCs w:val="32"/>
          <w:lang w:val="en-US" w:eastAsia="zh-CN"/>
        </w:rPr>
        <w:t>质量，根</w:t>
      </w:r>
      <w:r>
        <w:rPr>
          <w:rFonts w:hint="eastAsia" w:ascii="仿宋" w:hAnsi="仿宋" w:eastAsia="仿宋" w:cs="仿宋"/>
          <w:sz w:val="32"/>
          <w:szCs w:val="32"/>
        </w:rPr>
        <w:t>据《</w:t>
      </w:r>
      <w:r>
        <w:rPr>
          <w:rFonts w:hint="eastAsia" w:ascii="仿宋" w:hAnsi="仿宋" w:eastAsia="仿宋" w:cs="仿宋"/>
          <w:sz w:val="32"/>
          <w:szCs w:val="32"/>
          <w:lang w:val="en-US" w:eastAsia="zh-CN"/>
        </w:rPr>
        <w:t>中华人民共和国</w:t>
      </w:r>
      <w:r>
        <w:rPr>
          <w:rFonts w:hint="eastAsia" w:ascii="仿宋" w:hAnsi="仿宋" w:eastAsia="仿宋" w:cs="仿宋"/>
          <w:sz w:val="32"/>
          <w:szCs w:val="32"/>
        </w:rPr>
        <w:t>大气污染防治法》</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中华人民共和国治安管理处罚法</w:t>
      </w:r>
      <w:r>
        <w:rPr>
          <w:rFonts w:hint="eastAsia" w:ascii="仿宋" w:hAnsi="仿宋" w:eastAsia="仿宋" w:cs="仿宋"/>
          <w:sz w:val="32"/>
          <w:szCs w:val="32"/>
          <w:lang w:eastAsia="zh-CN"/>
        </w:rPr>
        <w:t>》</w:t>
      </w:r>
      <w:r>
        <w:rPr>
          <w:rFonts w:hint="eastAsia" w:ascii="仿宋" w:hAnsi="仿宋" w:eastAsia="仿宋" w:cs="仿宋"/>
          <w:sz w:val="32"/>
          <w:szCs w:val="32"/>
        </w:rPr>
        <w:t>等</w:t>
      </w:r>
      <w:r>
        <w:rPr>
          <w:rFonts w:hint="eastAsia" w:ascii="仿宋" w:hAnsi="仿宋" w:eastAsia="仿宋" w:cs="仿宋"/>
          <w:sz w:val="32"/>
          <w:szCs w:val="32"/>
          <w:lang w:val="en-US" w:eastAsia="zh-CN"/>
        </w:rPr>
        <w:t>法律</w:t>
      </w:r>
      <w:r>
        <w:rPr>
          <w:rFonts w:hint="eastAsia" w:ascii="仿宋" w:hAnsi="仿宋" w:eastAsia="仿宋" w:cs="仿宋"/>
          <w:sz w:val="32"/>
          <w:szCs w:val="32"/>
        </w:rPr>
        <w:t>法规</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结合青山区实际，特</w:t>
      </w:r>
      <w:r>
        <w:rPr>
          <w:rFonts w:hint="eastAsia" w:ascii="仿宋" w:hAnsi="仿宋" w:eastAsia="仿宋" w:cs="仿宋"/>
          <w:sz w:val="32"/>
          <w:szCs w:val="32"/>
        </w:rPr>
        <w:t>制定</w:t>
      </w:r>
      <w:r>
        <w:rPr>
          <w:rFonts w:hint="eastAsia" w:ascii="仿宋" w:hAnsi="仿宋" w:eastAsia="仿宋" w:cs="仿宋"/>
          <w:sz w:val="32"/>
          <w:szCs w:val="32"/>
          <w:lang w:val="en-US" w:eastAsia="zh-CN"/>
        </w:rPr>
        <w:t>本通告</w:t>
      </w:r>
      <w:bookmarkStart w:id="0" w:name="_GoBack"/>
      <w:bookmarkEnd w:id="0"/>
      <w:r>
        <w:rPr>
          <w:rFonts w:hint="eastAsia" w:ascii="仿宋" w:hAnsi="仿宋" w:eastAsia="仿宋" w:cs="仿宋"/>
          <w:sz w:val="32"/>
          <w:szCs w:val="32"/>
          <w:lang w:val="en-US" w:eastAsia="zh-CN"/>
        </w:rPr>
        <w:t>。</w:t>
      </w:r>
    </w:p>
    <w:p w14:paraId="1A5E4B84">
      <w:pPr>
        <w:keepNext w:val="0"/>
        <w:keepLines w:val="0"/>
        <w:pageBreakBefore w:val="0"/>
        <w:widowControl w:val="0"/>
        <w:kinsoku/>
        <w:wordWrap/>
        <w:overflowPunct/>
        <w:topLinePunct w:val="0"/>
        <w:autoSpaceDE/>
        <w:autoSpaceDN/>
        <w:bidi w:val="0"/>
        <w:adjustRightInd/>
        <w:snapToGrid/>
        <w:spacing w:line="540" w:lineRule="exact"/>
        <w:ind w:left="640" w:hanging="640" w:hangingChars="200"/>
        <w:textAlignment w:val="auto"/>
        <w:rPr>
          <w:rFonts w:hint="default" w:ascii="黑体" w:hAnsi="黑体" w:eastAsia="黑体" w:cs="黑体"/>
          <w:sz w:val="32"/>
          <w:szCs w:val="32"/>
        </w:rPr>
      </w:pPr>
      <w:r>
        <w:rPr>
          <w:rFonts w:hint="default" w:ascii="Calibri" w:hAnsi="Calibri" w:eastAsia="方正仿宋_GB2312" w:cs="方正仿宋_GB2312"/>
          <w:sz w:val="32"/>
          <w:szCs w:val="32"/>
        </w:rPr>
        <w:t>​</w:t>
      </w:r>
      <w:r>
        <w:rPr>
          <w:rFonts w:hint="eastAsia" w:ascii="Calibri" w:hAnsi="Calibri" w:eastAsia="方正仿宋_GB2312" w:cs="方正仿宋_GB2312"/>
          <w:sz w:val="32"/>
          <w:szCs w:val="32"/>
          <w:lang w:val="en-US" w:eastAsia="zh-CN"/>
        </w:rPr>
        <w:t xml:space="preserve">  </w:t>
      </w:r>
      <w:r>
        <w:rPr>
          <w:rFonts w:hint="eastAsia" w:ascii="黑体" w:hAnsi="黑体" w:eastAsia="黑体" w:cs="黑体"/>
          <w:sz w:val="32"/>
          <w:szCs w:val="32"/>
          <w:lang w:val="en-US" w:eastAsia="zh-CN"/>
        </w:rPr>
        <w:t>一</w:t>
      </w:r>
      <w:r>
        <w:rPr>
          <w:rFonts w:hint="default" w:ascii="黑体" w:hAnsi="黑体" w:eastAsia="黑体" w:cs="黑体"/>
          <w:sz w:val="32"/>
          <w:szCs w:val="32"/>
        </w:rPr>
        <w:t>、术语定义​</w:t>
      </w:r>
    </w:p>
    <w:p w14:paraId="040F2A6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露天烧烤是指</w:t>
      </w:r>
      <w:r>
        <w:rPr>
          <w:rFonts w:hint="eastAsia" w:ascii="仿宋" w:hAnsi="仿宋" w:eastAsia="仿宋" w:cs="仿宋"/>
          <w:sz w:val="32"/>
          <w:szCs w:val="32"/>
          <w:lang w:val="en-US" w:eastAsia="zh-CN"/>
        </w:rPr>
        <w:t>单位或个人</w:t>
      </w:r>
      <w:r>
        <w:rPr>
          <w:rFonts w:hint="default" w:ascii="仿宋" w:hAnsi="仿宋" w:eastAsia="仿宋" w:cs="仿宋"/>
          <w:sz w:val="32"/>
          <w:szCs w:val="32"/>
          <w:lang w:val="en-US" w:eastAsia="zh-CN"/>
        </w:rPr>
        <w:t>在室外环境下进行的炭烤、油炸、铁板烧等会产生大量油烟的食品制作行为。</w:t>
      </w:r>
    </w:p>
    <w:p w14:paraId="3CE143E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黑体" w:hAnsi="黑体" w:eastAsia="黑体" w:cs="黑体"/>
          <w:sz w:val="32"/>
          <w:szCs w:val="32"/>
        </w:rPr>
      </w:pPr>
      <w:r>
        <w:rPr>
          <w:rFonts w:hint="eastAsia" w:ascii="黑体" w:hAnsi="黑体" w:eastAsia="黑体" w:cs="黑体"/>
          <w:sz w:val="32"/>
          <w:szCs w:val="32"/>
          <w:lang w:val="en-US" w:eastAsia="zh-CN"/>
        </w:rPr>
        <w:t>二</w:t>
      </w:r>
      <w:r>
        <w:rPr>
          <w:rFonts w:hint="default" w:ascii="黑体" w:hAnsi="黑体" w:eastAsia="黑体" w:cs="黑体"/>
          <w:sz w:val="32"/>
          <w:szCs w:val="32"/>
        </w:rPr>
        <w:t>、禁止区域​</w:t>
      </w:r>
    </w:p>
    <w:p w14:paraId="3AD10AC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划定3个禁止露天烧烤区区块，分别为园林路——建港南街——园林巷——和平大道——罗家港路——罗家港二街——下杨家巷——怡江巷——罗家港一街——园林路——旅大街——建设三路——本溪街——建设二路——友谊大道合围以及122冶建花园小区、钢都花园124街坊区域（包含青山国控点防范区），工业二路——市政侧路——沿港路——冶金一街——冶金大道合围区域，工业路——黄州街——工业四路——友谊大道合围区域（见附图）。</w:t>
      </w:r>
    </w:p>
    <w:p w14:paraId="78C5C17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黑体" w:hAnsi="黑体" w:eastAsia="黑体" w:cs="黑体"/>
          <w:sz w:val="32"/>
          <w:szCs w:val="32"/>
        </w:rPr>
      </w:pPr>
      <w:r>
        <w:rPr>
          <w:rFonts w:hint="eastAsia" w:ascii="黑体" w:hAnsi="黑体" w:eastAsia="黑体" w:cs="黑体"/>
          <w:sz w:val="32"/>
          <w:szCs w:val="32"/>
          <w:lang w:val="en-US" w:eastAsia="zh-CN"/>
        </w:rPr>
        <w:t>三</w:t>
      </w:r>
      <w:r>
        <w:rPr>
          <w:rFonts w:hint="default" w:ascii="黑体" w:hAnsi="黑体" w:eastAsia="黑体" w:cs="黑体"/>
          <w:sz w:val="32"/>
          <w:szCs w:val="32"/>
        </w:rPr>
        <w:t>、禁止时段​</w:t>
      </w:r>
    </w:p>
    <w:p w14:paraId="00446D2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每年10月1日至次年3月31日，全天。</w:t>
      </w:r>
    </w:p>
    <w:p w14:paraId="4C021D2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default" w:ascii="黑体" w:hAnsi="黑体" w:eastAsia="黑体" w:cs="黑体"/>
          <w:sz w:val="32"/>
          <w:szCs w:val="32"/>
        </w:rPr>
        <w:t>、</w:t>
      </w:r>
      <w:r>
        <w:rPr>
          <w:rFonts w:hint="eastAsia" w:ascii="黑体" w:hAnsi="黑体" w:eastAsia="黑体" w:cs="黑体"/>
          <w:sz w:val="32"/>
          <w:szCs w:val="32"/>
          <w:lang w:val="en-US" w:eastAsia="zh-CN"/>
        </w:rPr>
        <w:t>法律责任</w:t>
      </w:r>
    </w:p>
    <w:p w14:paraId="7D6293A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仿宋"/>
          <w:sz w:val="32"/>
          <w:szCs w:val="32"/>
        </w:rPr>
      </w:pPr>
      <w:r>
        <w:rPr>
          <w:rFonts w:hint="default" w:ascii="仿宋" w:hAnsi="仿宋" w:eastAsia="仿宋" w:cs="仿宋"/>
          <w:sz w:val="32"/>
          <w:szCs w:val="32"/>
        </w:rPr>
        <w:t>根据《中华人民共和国大气污染防治法》第八十一条第三款之规定，任何单位和个人不得在本区禁止的区域内露天烧烤食品或者为露天烧烤食品提供场地。违反上述法律规定，在本区禁止的时段和区域内露天烧烤食品或者为露天烧烤食品提供场地的，依照《中华人民共和国大气污染防治法》第一百一十八条第三款，由城市管理部门责令改正，没收烧烤工具和违法所得，并处五百元以上二万元以下的罚款。</w:t>
      </w:r>
    </w:p>
    <w:p w14:paraId="410FC51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仿宋"/>
          <w:sz w:val="32"/>
          <w:szCs w:val="32"/>
        </w:rPr>
      </w:pPr>
      <w:r>
        <w:rPr>
          <w:rFonts w:hint="default" w:ascii="仿宋" w:hAnsi="仿宋" w:eastAsia="仿宋" w:cs="仿宋"/>
          <w:sz w:val="32"/>
          <w:szCs w:val="32"/>
        </w:rPr>
        <w:t>对阻碍国家机关工作人员依法执行公务的，由公安机关依照《中华人民共和国治安管理处罚法》等有关规定依法进行处罚；情节严重构成犯罪的，依法追究刑事责任。</w:t>
      </w:r>
    </w:p>
    <w:p w14:paraId="3B81E7A1">
      <w:pPr>
        <w:keepNext w:val="0"/>
        <w:keepLines w:val="0"/>
        <w:pageBreakBefore w:val="0"/>
        <w:widowControl w:val="0"/>
        <w:kinsoku/>
        <w:wordWrap/>
        <w:overflowPunct/>
        <w:topLinePunct w:val="0"/>
        <w:autoSpaceDE/>
        <w:autoSpaceDN/>
        <w:bidi w:val="0"/>
        <w:adjustRightInd/>
        <w:snapToGrid/>
        <w:spacing w:line="540" w:lineRule="exact"/>
        <w:ind w:left="420" w:leftChars="200" w:firstLine="0" w:firstLineChars="0"/>
        <w:textAlignment w:val="auto"/>
        <w:rPr>
          <w:rFonts w:hint="default" w:ascii="Calibri" w:hAnsi="Calibri" w:eastAsia="方正仿宋_GB2312" w:cs="方正仿宋_GB2312"/>
          <w:sz w:val="32"/>
          <w:szCs w:val="32"/>
        </w:rPr>
      </w:pPr>
      <w:r>
        <w:rPr>
          <w:rFonts w:hint="eastAsia" w:ascii="黑体" w:hAnsi="黑体" w:eastAsia="黑体" w:cs="黑体"/>
          <w:sz w:val="32"/>
          <w:szCs w:val="32"/>
          <w:lang w:val="en-US" w:eastAsia="zh-CN"/>
        </w:rPr>
        <w:t>五</w:t>
      </w:r>
      <w:r>
        <w:rPr>
          <w:rFonts w:hint="default" w:ascii="黑体" w:hAnsi="黑体" w:eastAsia="黑体" w:cs="黑体"/>
          <w:sz w:val="32"/>
          <w:szCs w:val="32"/>
          <w:lang w:val="en-US" w:eastAsia="zh-CN"/>
        </w:rPr>
        <w:t>、监督机制</w:t>
      </w:r>
      <w:r>
        <w:rPr>
          <w:rFonts w:hint="default" w:ascii="Calibri" w:hAnsi="Calibri" w:eastAsia="方正仿宋_GB2312" w:cs="方正仿宋_GB2312"/>
          <w:sz w:val="32"/>
          <w:szCs w:val="32"/>
        </w:rPr>
        <w:t>​</w:t>
      </w:r>
    </w:p>
    <w:p w14:paraId="70B1179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禁止区域内发生露天烧烤行为</w:t>
      </w:r>
      <w:r>
        <w:rPr>
          <w:rFonts w:hint="eastAsia" w:ascii="仿宋" w:hAnsi="仿宋" w:eastAsia="仿宋" w:cs="仿宋"/>
          <w:sz w:val="32"/>
          <w:szCs w:val="32"/>
        </w:rPr>
        <w:t>，</w:t>
      </w:r>
      <w:r>
        <w:rPr>
          <w:rFonts w:hint="eastAsia" w:ascii="仿宋" w:hAnsi="仿宋" w:eastAsia="仿宋" w:cs="仿宋"/>
          <w:sz w:val="32"/>
          <w:szCs w:val="32"/>
          <w:lang w:val="en-US" w:eastAsia="zh-CN"/>
        </w:rPr>
        <w:t>可拨打12345、12319热线电话进行投诉、举报</w:t>
      </w:r>
      <w:r>
        <w:rPr>
          <w:rFonts w:hint="eastAsia" w:ascii="仿宋" w:hAnsi="仿宋" w:eastAsia="仿宋" w:cs="仿宋"/>
          <w:sz w:val="32"/>
          <w:szCs w:val="32"/>
        </w:rPr>
        <w:t>。</w:t>
      </w:r>
    </w:p>
    <w:p w14:paraId="13456561">
      <w:pPr>
        <w:keepNext w:val="0"/>
        <w:keepLines w:val="0"/>
        <w:pageBreakBefore w:val="0"/>
        <w:widowControl w:val="0"/>
        <w:kinsoku/>
        <w:wordWrap/>
        <w:overflowPunct/>
        <w:topLinePunct w:val="0"/>
        <w:autoSpaceDE/>
        <w:autoSpaceDN/>
        <w:bidi w:val="0"/>
        <w:adjustRightInd/>
        <w:snapToGrid/>
        <w:spacing w:line="540" w:lineRule="exact"/>
        <w:ind w:left="420" w:leftChars="200" w:firstLine="0" w:firstLineChars="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六、</w:t>
      </w:r>
      <w:r>
        <w:rPr>
          <w:rFonts w:hint="default" w:ascii="黑体" w:hAnsi="黑体" w:eastAsia="黑体" w:cs="黑体"/>
          <w:sz w:val="32"/>
          <w:szCs w:val="32"/>
          <w:lang w:val="en-US" w:eastAsia="zh-CN"/>
        </w:rPr>
        <w:t>动态调整机制</w:t>
      </w:r>
    </w:p>
    <w:p w14:paraId="6D79CDD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禁止区域范围根据我区城市建设发展情况适时调整。</w:t>
      </w:r>
    </w:p>
    <w:p w14:paraId="39E6B1A8">
      <w:pPr>
        <w:keepNext w:val="0"/>
        <w:keepLines w:val="0"/>
        <w:pageBreakBefore w:val="0"/>
        <w:widowControl w:val="0"/>
        <w:kinsoku/>
        <w:wordWrap/>
        <w:overflowPunct/>
        <w:topLinePunct w:val="0"/>
        <w:autoSpaceDE/>
        <w:autoSpaceDN/>
        <w:bidi w:val="0"/>
        <w:adjustRightInd/>
        <w:snapToGrid/>
        <w:spacing w:line="540" w:lineRule="exact"/>
        <w:ind w:left="420" w:leftChars="200" w:firstLine="0" w:firstLine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w:t>
      </w:r>
      <w:r>
        <w:rPr>
          <w:rFonts w:hint="default" w:ascii="黑体" w:hAnsi="黑体" w:eastAsia="黑体" w:cs="黑体"/>
          <w:sz w:val="32"/>
          <w:szCs w:val="32"/>
          <w:lang w:val="en-US" w:eastAsia="zh-CN"/>
        </w:rPr>
        <w:t>、</w:t>
      </w:r>
      <w:r>
        <w:rPr>
          <w:rFonts w:hint="eastAsia" w:ascii="黑体" w:hAnsi="黑体" w:eastAsia="黑体" w:cs="黑体"/>
          <w:sz w:val="32"/>
          <w:szCs w:val="32"/>
          <w:lang w:val="en-US" w:eastAsia="zh-CN"/>
        </w:rPr>
        <w:t>本通告自发布之日起实施，有效期5年。</w:t>
      </w:r>
    </w:p>
    <w:p w14:paraId="0EEE715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特此通告。</w:t>
      </w:r>
    </w:p>
    <w:p w14:paraId="01CD171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仿宋"/>
          <w:sz w:val="32"/>
          <w:szCs w:val="32"/>
          <w:lang w:val="en-US" w:eastAsia="zh-CN"/>
        </w:rPr>
      </w:pPr>
    </w:p>
    <w:p w14:paraId="38958C9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pPr>
      <w:r>
        <w:rPr>
          <w:rFonts w:hint="default" w:ascii="仿宋" w:hAnsi="仿宋" w:eastAsia="仿宋" w:cs="仿宋"/>
          <w:sz w:val="32"/>
          <w:szCs w:val="32"/>
        </w:rPr>
        <w:t>附件</w:t>
      </w:r>
      <w:r>
        <w:rPr>
          <w:rFonts w:hint="eastAsia" w:ascii="仿宋" w:hAnsi="仿宋" w:eastAsia="仿宋" w:cs="仿宋"/>
          <w:sz w:val="32"/>
          <w:szCs w:val="32"/>
          <w:lang w:eastAsia="zh-CN"/>
        </w:rPr>
        <w:t>：</w:t>
      </w:r>
      <w:r>
        <w:rPr>
          <w:rFonts w:hint="default" w:ascii="仿宋" w:hAnsi="仿宋" w:eastAsia="仿宋" w:cs="仿宋"/>
          <w:sz w:val="32"/>
          <w:szCs w:val="32"/>
        </w:rPr>
        <w:t>《青山区（化工区）露天烧烤禁止区域示意图》</w:t>
      </w:r>
    </w:p>
    <w:p w14:paraId="7BF3C7CD">
      <w:pPr>
        <w:keepNext w:val="0"/>
        <w:keepLines w:val="0"/>
        <w:pageBreakBefore w:val="0"/>
        <w:widowControl w:val="0"/>
        <w:kinsoku/>
        <w:wordWrap/>
        <w:overflowPunct/>
        <w:topLinePunct w:val="0"/>
        <w:autoSpaceDE/>
        <w:autoSpaceDN/>
        <w:bidi w:val="0"/>
        <w:adjustRightInd/>
        <w:snapToGrid/>
        <w:spacing w:line="540" w:lineRule="exact"/>
        <w:textAlignment w:val="auto"/>
      </w:pPr>
    </w:p>
    <w:p w14:paraId="75CDF5F2">
      <w:pPr>
        <w:keepNext w:val="0"/>
        <w:keepLines w:val="0"/>
        <w:pageBreakBefore w:val="0"/>
        <w:widowControl w:val="0"/>
        <w:kinsoku/>
        <w:wordWrap/>
        <w:overflowPunct/>
        <w:topLinePunct w:val="0"/>
        <w:autoSpaceDE/>
        <w:autoSpaceDN/>
        <w:bidi w:val="0"/>
        <w:adjustRightInd/>
        <w:snapToGrid/>
        <w:spacing w:line="540" w:lineRule="exact"/>
        <w:textAlignment w:val="auto"/>
      </w:pPr>
    </w:p>
    <w:p w14:paraId="4ADD70BC">
      <w:pPr>
        <w:keepNext w:val="0"/>
        <w:keepLines w:val="0"/>
        <w:pageBreakBefore w:val="0"/>
        <w:widowControl w:val="0"/>
        <w:kinsoku/>
        <w:wordWrap/>
        <w:overflowPunct/>
        <w:topLinePunct w:val="0"/>
        <w:autoSpaceDE/>
        <w:autoSpaceDN/>
        <w:bidi w:val="0"/>
        <w:adjustRightInd/>
        <w:snapToGrid/>
        <w:spacing w:line="540" w:lineRule="exact"/>
        <w:textAlignment w:val="auto"/>
      </w:pPr>
    </w:p>
    <w:p w14:paraId="254DC54A">
      <w:pPr>
        <w:keepNext w:val="0"/>
        <w:keepLines w:val="0"/>
        <w:pageBreakBefore w:val="0"/>
        <w:widowControl w:val="0"/>
        <w:kinsoku/>
        <w:wordWrap/>
        <w:overflowPunct/>
        <w:topLinePunct w:val="0"/>
        <w:autoSpaceDE/>
        <w:autoSpaceDN/>
        <w:bidi w:val="0"/>
        <w:adjustRightInd/>
        <w:snapToGrid/>
        <w:spacing w:line="540" w:lineRule="exact"/>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武汉市青山区人民政府</w:t>
      </w:r>
    </w:p>
    <w:p w14:paraId="192C8E1F">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2025年X月X日</w:t>
      </w:r>
    </w:p>
    <w:p w14:paraId="59EAEC63">
      <w:pPr>
        <w:jc w:val="both"/>
        <w:rPr>
          <w:rFonts w:hint="eastAsia" w:ascii="Calibri" w:hAnsi="Calibri" w:eastAsia="方正仿宋_GB2312" w:cs="方正仿宋_GB2312"/>
          <w:sz w:val="32"/>
          <w:szCs w:val="32"/>
          <w:lang w:val="en-US" w:eastAsia="zh-CN"/>
        </w:rPr>
      </w:pPr>
    </w:p>
    <w:p w14:paraId="59CDC10D">
      <w:pPr>
        <w:jc w:val="both"/>
        <w:rPr>
          <w:rFonts w:hint="eastAsia" w:ascii="Calibri" w:hAnsi="Calibri" w:eastAsia="方正仿宋_GB2312" w:cs="方正仿宋_GB2312"/>
          <w:sz w:val="32"/>
          <w:szCs w:val="32"/>
          <w:lang w:val="en-US" w:eastAsia="zh-CN"/>
        </w:rPr>
        <w:sectPr>
          <w:pgSz w:w="11906" w:h="16838"/>
          <w:pgMar w:top="1440" w:right="1800" w:bottom="1440" w:left="1800" w:header="851" w:footer="992" w:gutter="0"/>
          <w:cols w:space="425" w:num="1"/>
          <w:docGrid w:type="lines" w:linePitch="312" w:charSpace="0"/>
        </w:sectPr>
      </w:pPr>
    </w:p>
    <w:p w14:paraId="362E2426">
      <w:pPr>
        <w:jc w:val="both"/>
        <w:rPr>
          <w:rFonts w:hint="eastAsia" w:ascii="Calibri" w:hAnsi="Calibri" w:eastAsia="方正仿宋_GB2312" w:cs="方正仿宋_GB2312"/>
          <w:sz w:val="32"/>
          <w:szCs w:val="32"/>
          <w:lang w:val="en-US" w:eastAsia="zh-CN"/>
        </w:rPr>
      </w:pPr>
      <w:r>
        <w:rPr>
          <w:rFonts w:hint="eastAsia" w:ascii="Calibri" w:hAnsi="Calibri" w:eastAsia="方正仿宋_GB2312" w:cs="方正仿宋_GB2312"/>
          <w:sz w:val="32"/>
          <w:szCs w:val="32"/>
          <w:lang w:val="en-US" w:eastAsia="zh-CN"/>
        </w:rPr>
        <w:drawing>
          <wp:inline distT="0" distB="0" distL="114300" distR="114300">
            <wp:extent cx="7602855" cy="5266690"/>
            <wp:effectExtent l="0" t="0" r="1905" b="6350"/>
            <wp:docPr id="1" name="图片 1" descr="武汉市青山区禁止露天烧烤区划定说明(20250815)_3-逐页转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武汉市青山区禁止露天烧烤区划定说明(20250815)_3-逐页转图片"/>
                    <pic:cNvPicPr>
                      <a:picLocks noChangeAspect="1"/>
                    </pic:cNvPicPr>
                  </pic:nvPicPr>
                  <pic:blipFill>
                    <a:blip r:embed="rId4"/>
                    <a:stretch>
                      <a:fillRect/>
                    </a:stretch>
                  </pic:blipFill>
                  <pic:spPr>
                    <a:xfrm>
                      <a:off x="0" y="0"/>
                      <a:ext cx="7602855" cy="5266690"/>
                    </a:xfrm>
                    <a:prstGeom prst="rect">
                      <a:avLst/>
                    </a:prstGeom>
                  </pic:spPr>
                </pic:pic>
              </a:graphicData>
            </a:graphic>
          </wp:inline>
        </w:drawing>
      </w:r>
    </w:p>
    <w:p w14:paraId="6F0672C7">
      <w:pPr>
        <w:jc w:val="both"/>
        <w:rPr>
          <w:rFonts w:hint="eastAsia" w:ascii="Calibri" w:hAnsi="Calibri" w:eastAsia="方正仿宋_GB2312" w:cs="方正仿宋_GB2312"/>
          <w:sz w:val="32"/>
          <w:szCs w:val="32"/>
          <w:lang w:val="en-US" w:eastAsia="zh-CN"/>
        </w:rPr>
      </w:pPr>
      <w:r>
        <w:rPr>
          <w:rFonts w:hint="eastAsia" w:ascii="Calibri" w:hAnsi="Calibri" w:eastAsia="方正仿宋_GB2312" w:cs="方正仿宋_GB2312"/>
          <w:sz w:val="32"/>
          <w:szCs w:val="32"/>
          <w:lang w:val="en-US" w:eastAsia="zh-CN"/>
        </w:rPr>
        <w:drawing>
          <wp:inline distT="0" distB="0" distL="114300" distR="114300">
            <wp:extent cx="7602855" cy="5266690"/>
            <wp:effectExtent l="0" t="0" r="1905" b="6350"/>
            <wp:docPr id="2" name="图片 2" descr="武汉市青山区禁止露天烧烤区划定说明(20250815)_4-逐页转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武汉市青山区禁止露天烧烤区划定说明(20250815)_4-逐页转图片"/>
                    <pic:cNvPicPr>
                      <a:picLocks noChangeAspect="1"/>
                    </pic:cNvPicPr>
                  </pic:nvPicPr>
                  <pic:blipFill>
                    <a:blip r:embed="rId5"/>
                    <a:stretch>
                      <a:fillRect/>
                    </a:stretch>
                  </pic:blipFill>
                  <pic:spPr>
                    <a:xfrm>
                      <a:off x="0" y="0"/>
                      <a:ext cx="7602855" cy="5266690"/>
                    </a:xfrm>
                    <a:prstGeom prst="rect">
                      <a:avLst/>
                    </a:prstGeom>
                  </pic:spPr>
                </pic:pic>
              </a:graphicData>
            </a:graphic>
          </wp:inline>
        </w:drawing>
      </w:r>
    </w:p>
    <w:p w14:paraId="21449FF2">
      <w:pPr>
        <w:jc w:val="both"/>
        <w:rPr>
          <w:rFonts w:hint="eastAsia" w:ascii="Calibri" w:hAnsi="Calibri" w:eastAsia="方正仿宋_GB2312" w:cs="方正仿宋_GB2312"/>
          <w:sz w:val="32"/>
          <w:szCs w:val="32"/>
          <w:lang w:val="en-US" w:eastAsia="zh-CN"/>
        </w:rPr>
      </w:pPr>
      <w:r>
        <w:rPr>
          <w:rFonts w:hint="eastAsia" w:ascii="Calibri" w:hAnsi="Calibri" w:eastAsia="方正仿宋_GB2312" w:cs="方正仿宋_GB2312"/>
          <w:sz w:val="32"/>
          <w:szCs w:val="32"/>
          <w:lang w:val="en-US" w:eastAsia="zh-CN"/>
        </w:rPr>
        <w:drawing>
          <wp:inline distT="0" distB="0" distL="114300" distR="114300">
            <wp:extent cx="7602855" cy="5266690"/>
            <wp:effectExtent l="0" t="0" r="1905" b="6350"/>
            <wp:docPr id="3" name="图片 3" descr="武汉市青山区禁止露天烧烤区划定说明(20250815)_5-逐页转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武汉市青山区禁止露天烧烤区划定说明(20250815)_5-逐页转图片"/>
                    <pic:cNvPicPr>
                      <a:picLocks noChangeAspect="1"/>
                    </pic:cNvPicPr>
                  </pic:nvPicPr>
                  <pic:blipFill>
                    <a:blip r:embed="rId6"/>
                    <a:stretch>
                      <a:fillRect/>
                    </a:stretch>
                  </pic:blipFill>
                  <pic:spPr>
                    <a:xfrm>
                      <a:off x="0" y="0"/>
                      <a:ext cx="7602855" cy="5266690"/>
                    </a:xfrm>
                    <a:prstGeom prst="rect">
                      <a:avLst/>
                    </a:prstGeom>
                  </pic:spPr>
                </pic:pic>
              </a:graphicData>
            </a:graphic>
          </wp:inline>
        </w:drawing>
      </w:r>
    </w:p>
    <w:p w14:paraId="65EB8C8F">
      <w:pPr>
        <w:jc w:val="both"/>
        <w:rPr>
          <w:rFonts w:hint="default" w:ascii="Calibri" w:hAnsi="Calibri" w:eastAsia="方正仿宋_GB2312" w:cs="方正仿宋_GB2312"/>
          <w:sz w:val="32"/>
          <w:szCs w:val="32"/>
          <w:lang w:val="en-US" w:eastAsia="zh-CN"/>
        </w:rPr>
      </w:pPr>
      <w:r>
        <w:rPr>
          <w:rFonts w:hint="eastAsia" w:ascii="Calibri" w:hAnsi="Calibri" w:eastAsia="方正仿宋_GB2312" w:cs="方正仿宋_GB2312"/>
          <w:sz w:val="32"/>
          <w:szCs w:val="32"/>
          <w:lang w:val="en-US" w:eastAsia="zh-CN"/>
        </w:rPr>
        <w:drawing>
          <wp:inline distT="0" distB="0" distL="114300" distR="114300">
            <wp:extent cx="7602855" cy="5266690"/>
            <wp:effectExtent l="0" t="0" r="1905" b="6350"/>
            <wp:docPr id="4" name="图片 4" descr="武汉市青山区禁止露天烧烤区划定说明(20250815)_6-逐页转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武汉市青山区禁止露天烧烤区划定说明(20250815)_6-逐页转图片"/>
                    <pic:cNvPicPr>
                      <a:picLocks noChangeAspect="1"/>
                    </pic:cNvPicPr>
                  </pic:nvPicPr>
                  <pic:blipFill>
                    <a:blip r:embed="rId7"/>
                    <a:stretch>
                      <a:fillRect/>
                    </a:stretch>
                  </pic:blipFill>
                  <pic:spPr>
                    <a:xfrm>
                      <a:off x="0" y="0"/>
                      <a:ext cx="7602855" cy="5266690"/>
                    </a:xfrm>
                    <a:prstGeom prst="rect">
                      <a:avLst/>
                    </a:prstGeom>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embedRegular r:id="rId1" w:fontKey="{9AD87683-09CF-9239-A2EC-D868AE2F43B3}"/>
  </w:font>
  <w:font w:name="宋体">
    <w:altName w:val="汉仪书宋二KW"/>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CDE2DFF3-07DC-0ADD-A2EC-D86879C4F067}"/>
  </w:font>
  <w:font w:name="华文中宋">
    <w:panose1 w:val="02010600040101010101"/>
    <w:charset w:val="86"/>
    <w:family w:val="auto"/>
    <w:pitch w:val="default"/>
    <w:sig w:usb0="00000287" w:usb1="080F0000" w:usb2="00000000" w:usb3="00000000" w:csb0="0004009F" w:csb1="DFD70000"/>
    <w:embedRegular r:id="rId3" w:fontKey="{93AB9803-49E4-AA9F-A2EC-D868FC23C75E}"/>
  </w:font>
  <w:font w:name="方正楷体_GB2312">
    <w:panose1 w:val="02000000000000000000"/>
    <w:charset w:val="86"/>
    <w:family w:val="auto"/>
    <w:pitch w:val="default"/>
    <w:sig w:usb0="A00002BF" w:usb1="184F6CFA" w:usb2="00000012" w:usb3="00000000" w:csb0="00040001" w:csb1="00000000"/>
    <w:embedRegular r:id="rId4" w:fontKey="{FAABA1EA-2DA0-C7DA-A2EC-D868E593854C}"/>
  </w:font>
  <w:font w:name="方正仿宋_GB2312">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儷宋 Pro">
    <w:panose1 w:val="02020300000000000000"/>
    <w:charset w:val="88"/>
    <w:family w:val="auto"/>
    <w:pitch w:val="default"/>
    <w:sig w:usb0="80000001" w:usb1="28091800" w:usb2="00000016" w:usb3="00000000" w:csb0="0010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4942F3"/>
    <w:rsid w:val="14C977EF"/>
    <w:rsid w:val="26924756"/>
    <w:rsid w:val="276D3003"/>
    <w:rsid w:val="3A362FFF"/>
    <w:rsid w:val="4C4F25A3"/>
    <w:rsid w:val="5353518E"/>
    <w:rsid w:val="5C106E7A"/>
    <w:rsid w:val="6302421E"/>
    <w:rsid w:val="65390398"/>
    <w:rsid w:val="69AA4279"/>
    <w:rsid w:val="69FE1853"/>
    <w:rsid w:val="6A5F4B23"/>
    <w:rsid w:val="6D321033"/>
    <w:rsid w:val="D7CD61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792</Words>
  <Characters>830</Characters>
  <Lines>0</Lines>
  <Paragraphs>0</Paragraphs>
  <TotalTime>15</TotalTime>
  <ScaleCrop>false</ScaleCrop>
  <LinksUpToDate>false</LinksUpToDate>
  <CharactersWithSpaces>871</CharactersWithSpaces>
  <Application>WPS Office_12.1.22553.22553_F1E327BC-269C-435d-A152-05C5408002CA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2025-02-05T11:00:00Z</dcterms:created>
  <dc:creator>ACER</dc:creator>
  <cp:lastModifiedBy>楚休红</cp:lastModifiedBy>
  <dcterms:modified xsi:type="dcterms:W3CDTF">2025-09-28T16:06:58Z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2052-12.1.22553.22553</vt:lpwstr>
  </property>
  <property fmtid="{D5CDD505-2E9C-101B-9397-08002B2CF9AE}" pid="3" name="ICV">
    <vt:lpwstr>78734A6406004F75824A6A2B842C578D_13</vt:lpwstr>
  </property>
  <property fmtid="{D5CDD505-2E9C-101B-9397-08002B2CF9AE}" pid="4" name="KSOTemplateDocerSaveRecord">
    <vt:lpwstr>eyJoZGlkIjoiYTRjMDAxNTllZmIzYjM3MzZhYjY0YzQ3OGI0YmY5MzgiLCJ1c2VySWQiOiIzNTE0NjM2NjcifQ==</vt:lpwstr>
  </property>
</Properties>
</file>