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DF250">
      <w:pPr>
        <w:snapToGrid w:val="0"/>
        <w:spacing w:line="600" w:lineRule="exact"/>
        <w:ind w:firstLine="420"/>
        <w:jc w:val="center"/>
        <w:rPr>
          <w:rFonts w:hint="eastAsia" w:ascii="方正小标宋简体" w:hAnsi="方正小标宋简体" w:eastAsia="方正小标宋简体" w:cs="方正小标宋简体"/>
          <w:spacing w:val="11"/>
          <w:sz w:val="44"/>
          <w:szCs w:val="44"/>
        </w:rPr>
      </w:pPr>
      <w:bookmarkStart w:id="2" w:name="_GoBack"/>
      <w:bookmarkEnd w:id="2"/>
    </w:p>
    <w:p w14:paraId="7E45F0C9">
      <w:pPr>
        <w:snapToGrid w:val="0"/>
        <w:spacing w:line="620" w:lineRule="exact"/>
        <w:jc w:val="center"/>
        <w:rPr>
          <w:rFonts w:ascii="方正小标宋简体" w:hAnsi="方正小标宋简体" w:eastAsia="方正小标宋简体" w:cs="方正小标宋简体"/>
          <w:bCs/>
          <w:sz w:val="40"/>
          <w:szCs w:val="40"/>
        </w:rPr>
      </w:pPr>
      <w:bookmarkStart w:id="0" w:name="_Hlk213874111"/>
      <w:r>
        <w:rPr>
          <w:rFonts w:hint="eastAsia" w:ascii="方正小标宋简体" w:hAnsi="方正小标宋简体" w:eastAsia="方正小标宋简体" w:cs="方正小标宋简体"/>
          <w:bCs/>
          <w:sz w:val="40"/>
          <w:szCs w:val="40"/>
        </w:rPr>
        <w:t>船舶园横一路（船舶园路-万家路）</w:t>
      </w:r>
      <w:bookmarkEnd w:id="0"/>
      <w:r>
        <w:rPr>
          <w:rFonts w:hint="eastAsia" w:ascii="方正小标宋简体" w:hAnsi="方正小标宋简体" w:eastAsia="方正小标宋简体" w:cs="方正小标宋简体"/>
          <w:bCs/>
          <w:sz w:val="40"/>
          <w:szCs w:val="40"/>
        </w:rPr>
        <w:t>道路排水</w:t>
      </w:r>
    </w:p>
    <w:p w14:paraId="142E7CD9">
      <w:pPr>
        <w:snapToGrid w:val="0"/>
        <w:spacing w:line="620" w:lineRule="exact"/>
        <w:jc w:val="center"/>
        <w:rPr>
          <w:rFonts w:hint="eastAsia" w:ascii="方正小标宋简体" w:hAnsi="方正小标宋简体" w:eastAsia="方正小标宋简体" w:cs="方正小标宋简体"/>
          <w:spacing w:val="11"/>
          <w:sz w:val="40"/>
          <w:szCs w:val="40"/>
        </w:rPr>
      </w:pPr>
      <w:r>
        <w:rPr>
          <w:rFonts w:hint="eastAsia" w:ascii="方正小标宋简体" w:hAnsi="方正小标宋简体" w:eastAsia="方正小标宋简体" w:cs="方正小标宋简体"/>
          <w:bCs/>
          <w:sz w:val="40"/>
          <w:szCs w:val="40"/>
        </w:rPr>
        <w:t>工程</w:t>
      </w:r>
      <w:r>
        <w:rPr>
          <w:rFonts w:hint="eastAsia" w:ascii="方正小标宋简体" w:hAnsi="方正小标宋简体" w:eastAsia="方正小标宋简体" w:cs="方正小标宋简体"/>
          <w:spacing w:val="11"/>
          <w:sz w:val="40"/>
          <w:szCs w:val="40"/>
        </w:rPr>
        <w:t>房屋征收项目征收补偿方案</w:t>
      </w:r>
    </w:p>
    <w:p w14:paraId="5346AF47">
      <w:pPr>
        <w:snapToGrid w:val="0"/>
        <w:spacing w:before="240" w:beforeLines="100" w:after="240" w:afterLines="100" w:line="560" w:lineRule="exact"/>
        <w:jc w:val="center"/>
        <w:rPr>
          <w:rFonts w:hint="eastAsia" w:ascii="楷体_GB2312" w:eastAsia="楷体_GB2312"/>
          <w:sz w:val="32"/>
          <w:szCs w:val="32"/>
        </w:rPr>
      </w:pPr>
      <w:r>
        <w:rPr>
          <w:rFonts w:hint="eastAsia" w:ascii="楷体_GB2312" w:eastAsia="楷体_GB2312"/>
          <w:sz w:val="32"/>
          <w:szCs w:val="32"/>
        </w:rPr>
        <w:t>（</w:t>
      </w:r>
      <w:r>
        <w:rPr>
          <w:rFonts w:hint="eastAsia" w:ascii="仿宋" w:hAnsi="仿宋" w:eastAsia="仿宋" w:cs="仿宋"/>
          <w:sz w:val="32"/>
          <w:szCs w:val="32"/>
        </w:rPr>
        <w:t>征求意见稿</w:t>
      </w:r>
      <w:r>
        <w:rPr>
          <w:rFonts w:hint="eastAsia" w:ascii="楷体_GB2312" w:eastAsia="楷体_GB2312"/>
          <w:sz w:val="32"/>
          <w:szCs w:val="32"/>
        </w:rPr>
        <w:t>）</w:t>
      </w:r>
    </w:p>
    <w:p w14:paraId="75278CDE">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实施交通基础设施建设，根据《国有土地上房屋征收与补偿条例》（国务院令第590号）等相关法律法规规定，青山区人民政府对船舶园横一路（船舶园路-万家路）道路排水工程房屋征收项目国有土地上的房屋实施征收。该项目经区发改局立项批复《区发改局关于船舶园横一路（船舶园路-万家路）道路排水工程可行性研究报告（代项目建议书）的批复》（青发改政〔2021〕63号），已在原武汉市自然资源和规划局青山分局办理</w:t>
      </w:r>
      <w:r>
        <w:rPr>
          <w:rFonts w:hint="eastAsia" w:ascii="仿宋" w:hAnsi="仿宋" w:eastAsia="仿宋" w:cs="仿宋"/>
          <w:spacing w:val="6"/>
          <w:sz w:val="32"/>
          <w:szCs w:val="32"/>
        </w:rPr>
        <w:t>《建设项目用地预审与选址意见书》</w:t>
      </w:r>
      <w:r>
        <w:rPr>
          <w:rFonts w:hint="eastAsia" w:ascii="仿宋" w:hAnsi="仿宋" w:eastAsia="仿宋" w:cs="仿宋"/>
          <w:sz w:val="32"/>
          <w:szCs w:val="32"/>
        </w:rPr>
        <w:t>（武自规（青）用〔2021〕013号）。为依法实施房屋征收补偿工作，保障被征收人、公有房屋承租人的合法权益，现制定该项目征收补偿方案。</w:t>
      </w:r>
    </w:p>
    <w:p w14:paraId="7ED6358D">
      <w:pPr>
        <w:snapToGrid w:val="0"/>
        <w:spacing w:line="54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一、法律依据</w:t>
      </w:r>
    </w:p>
    <w:p w14:paraId="5B6741D0">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37B9A2E3">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2545ED05">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（三）《武汉市国有土地上房屋征收与补偿实施办法》（武汉市人民政府令第234号公布，第275号令修改，第312号令第二次修改，第322号令第三次修改）</w:t>
      </w:r>
    </w:p>
    <w:p w14:paraId="18197D09">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1B7E5DFA">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（五）《国有土地上房屋征收评估办法》（建房〔2011〕77号）</w:t>
      </w:r>
    </w:p>
    <w:p w14:paraId="163F7C35">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333BD849">
      <w:pPr>
        <w:snapToGrid w:val="0"/>
        <w:spacing w:line="540" w:lineRule="exact"/>
        <w:ind w:firstLine="640" w:firstLineChars="200"/>
        <w:rPr>
          <w:rFonts w:hint="eastAsia" w:ascii="仿宋" w:hAnsi="仿宋" w:eastAsia="仿宋" w:cs="仿宋"/>
          <w:b w:val="0"/>
          <w:bCs w:val="0"/>
          <w:sz w:val="32"/>
          <w:szCs w:val="32"/>
        </w:rPr>
      </w:pPr>
      <w:r>
        <w:rPr>
          <w:rFonts w:hint="eastAsia" w:ascii="黑体" w:hAnsi="黑体" w:eastAsia="黑体" w:cs="黑体"/>
          <w:b w:val="0"/>
          <w:bCs w:val="0"/>
          <w:sz w:val="32"/>
          <w:szCs w:val="32"/>
        </w:rPr>
        <w:t>二、基本情况</w:t>
      </w:r>
      <w:r>
        <w:rPr>
          <w:rFonts w:hint="eastAsia" w:ascii="仿宋" w:hAnsi="仿宋" w:eastAsia="仿宋" w:cs="仿宋"/>
          <w:b w:val="0"/>
          <w:bCs w:val="0"/>
          <w:sz w:val="32"/>
          <w:szCs w:val="32"/>
        </w:rPr>
        <w:t>　</w:t>
      </w:r>
    </w:p>
    <w:p w14:paraId="132867F4">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6DF9C816">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船舶园横一路（船舶园路-万家路）道路排水工程房屋征收项目</w:t>
      </w:r>
    </w:p>
    <w:p w14:paraId="5931721F">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31383E4E">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实施交通基础设施建设</w:t>
      </w:r>
    </w:p>
    <w:p w14:paraId="37B8B1A6">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6A86FDF3">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该项目西起船舶园路，东止万家路（详见拟征收范围图）</w:t>
      </w:r>
    </w:p>
    <w:p w14:paraId="6B19DC33">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7CFBE5F9">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该项目国有土地占地面积约3902平方米（最终以实测为准），征收总户数1户，征收房屋建筑面积约100.20平方米（具体数据均以审计结果为准）。</w:t>
      </w:r>
    </w:p>
    <w:p w14:paraId="09CB5EBA">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5F721FD2">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3EC60402">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797744F5">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武汉市青山区人民政府武东街道办事处</w:t>
      </w:r>
    </w:p>
    <w:p w14:paraId="77EAEC72">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（七）被征收人和公有房屋承租人</w:t>
      </w:r>
    </w:p>
    <w:p w14:paraId="0F99AA9B">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322BD37C">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318C32CC">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（八）被征收房屋建筑面积和房屋用途的认定</w:t>
      </w:r>
    </w:p>
    <w:p w14:paraId="1AA3300D">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63EA255C">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（九）评估时点</w:t>
      </w:r>
    </w:p>
    <w:p w14:paraId="6C4F07AD">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评估时点为房屋征收决定公告之日</w:t>
      </w:r>
    </w:p>
    <w:p w14:paraId="142B7A24">
      <w:pPr>
        <w:snapToGrid w:val="0"/>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（十）征收签约期限</w:t>
      </w:r>
    </w:p>
    <w:p w14:paraId="3014E7A7">
      <w:pPr>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153FB5B3">
      <w:pPr>
        <w:spacing w:line="54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三、非住宅房屋的补偿</w:t>
      </w:r>
    </w:p>
    <w:p w14:paraId="0816E4CE">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（一）补偿方式和被征收房屋价值补偿</w:t>
      </w:r>
    </w:p>
    <w:p w14:paraId="67F28700">
      <w:pPr>
        <w:snapToGrid w:val="0"/>
        <w:spacing w:line="540" w:lineRule="exact"/>
        <w:ind w:firstLine="640" w:firstLineChars="200"/>
        <w:contextualSpacing/>
        <w:rPr>
          <w:rFonts w:hint="eastAsia" w:ascii="仿宋" w:hAnsi="仿宋" w:eastAsia="仿宋" w:cs="仿宋"/>
          <w:sz w:val="32"/>
        </w:rPr>
      </w:pPr>
      <w:bookmarkStart w:id="1" w:name="_Hlk207981224"/>
      <w:r>
        <w:rPr>
          <w:rFonts w:hint="eastAsia" w:ascii="仿宋" w:hAnsi="仿宋" w:eastAsia="仿宋" w:cs="仿宋"/>
          <w:sz w:val="32"/>
        </w:rPr>
        <w:t>被征收人可以选择货币补偿，也可以选择房屋产权调换。</w:t>
      </w:r>
    </w:p>
    <w:p w14:paraId="2AEE8A37">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7E50C7E8">
      <w:pPr>
        <w:snapToGrid w:val="0"/>
        <w:spacing w:line="540" w:lineRule="exact"/>
        <w:ind w:firstLine="640" w:firstLineChars="200"/>
        <w:contextualSpacing/>
        <w:rPr>
          <w:rFonts w:hint="eastAsia" w:ascii="仿宋" w:hAnsi="仿宋" w:eastAsia="仿宋" w:cs="仿宋"/>
          <w:sz w:val="32"/>
          <w:szCs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28EB5109">
      <w:pPr>
        <w:spacing w:line="54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205BD3C9">
      <w:pPr>
        <w:spacing w:line="540" w:lineRule="exact"/>
        <w:ind w:firstLine="640" w:firstLineChars="200"/>
        <w:rPr>
          <w:rFonts w:hint="eastAsia" w:ascii="仿宋" w:hAnsi="仿宋" w:eastAsia="仿宋" w:cs="仿宋"/>
          <w:spacing w:val="-6"/>
          <w:sz w:val="32"/>
        </w:rPr>
      </w:pPr>
      <w:r>
        <w:rPr>
          <w:rFonts w:hint="eastAsia" w:ascii="仿宋" w:hAnsi="仿宋" w:eastAsia="仿宋" w:cs="仿宋"/>
          <w:sz w:val="32"/>
        </w:rPr>
        <w:t>被征收人</w:t>
      </w:r>
      <w:r>
        <w:rPr>
          <w:rFonts w:hint="eastAsia" w:ascii="仿宋" w:hAnsi="仿宋" w:eastAsia="仿宋" w:cs="仿宋"/>
          <w:spacing w:val="-6"/>
          <w:sz w:val="32"/>
        </w:rPr>
        <w:t>选择货币补偿的，房屋征收部门按被征收房屋价值向被征收人、公有房屋承租人支付货币补偿费。</w:t>
      </w:r>
    </w:p>
    <w:p w14:paraId="10BC78F5">
      <w:pPr>
        <w:spacing w:line="540" w:lineRule="exact"/>
        <w:ind w:firstLine="640" w:firstLineChars="200"/>
        <w:rPr>
          <w:rFonts w:hint="eastAsia" w:ascii="仿宋" w:hAnsi="仿宋" w:eastAsia="仿宋" w:cs="仿宋"/>
          <w:sz w:val="32"/>
        </w:rPr>
      </w:pPr>
      <w:r>
        <w:rPr>
          <w:rFonts w:hint="eastAsia" w:ascii="仿宋" w:hAnsi="仿宋" w:eastAsia="仿宋" w:cs="仿宋"/>
          <w:sz w:val="32"/>
        </w:rPr>
        <w:t>2.房屋产权调换</w:t>
      </w:r>
    </w:p>
    <w:p w14:paraId="0F480E5D">
      <w:pPr>
        <w:spacing w:line="540" w:lineRule="exact"/>
        <w:ind w:firstLine="640" w:firstLineChars="200"/>
        <w:rPr>
          <w:rFonts w:hint="eastAsia" w:ascii="仿宋" w:hAnsi="仿宋" w:eastAsia="仿宋" w:cs="仿宋"/>
          <w:sz w:val="32"/>
        </w:rPr>
      </w:pPr>
      <w:r>
        <w:rPr>
          <w:rFonts w:hint="eastAsia" w:ascii="仿宋" w:hAnsi="仿宋" w:eastAsia="仿宋" w:cs="仿宋"/>
          <w:sz w:val="32"/>
        </w:rPr>
        <w:t>（1）被征收人选择房屋产权调换的，由房屋征收部门提供用于产权调换的房屋，并与被征收人结算被征收房屋价值与产权调换房屋价值的差价。</w:t>
      </w:r>
    </w:p>
    <w:p w14:paraId="74320060">
      <w:pPr>
        <w:spacing w:line="540" w:lineRule="exact"/>
        <w:ind w:firstLine="640" w:firstLineChars="200"/>
        <w:rPr>
          <w:rFonts w:hint="eastAsia" w:ascii="仿宋" w:hAnsi="仿宋" w:eastAsia="仿宋" w:cs="仿宋"/>
          <w:sz w:val="32"/>
        </w:rPr>
      </w:pPr>
      <w:r>
        <w:rPr>
          <w:rFonts w:hint="eastAsia" w:ascii="仿宋" w:hAnsi="仿宋" w:eastAsia="仿宋" w:cs="仿宋"/>
          <w:sz w:val="32"/>
        </w:rPr>
        <w:t>（2）非住宅产权调换房源</w:t>
      </w:r>
    </w:p>
    <w:p w14:paraId="41F06153">
      <w:pPr>
        <w:spacing w:line="540" w:lineRule="exact"/>
        <w:ind w:firstLine="640" w:firstLineChars="200"/>
        <w:rPr>
          <w:rFonts w:hint="eastAsia" w:ascii="仿宋" w:hAnsi="仿宋" w:eastAsia="仿宋" w:cs="仿宋"/>
          <w:sz w:val="32"/>
        </w:rPr>
      </w:pPr>
      <w:r>
        <w:rPr>
          <w:rFonts w:hint="eastAsia" w:ascii="仿宋" w:hAnsi="仿宋" w:eastAsia="仿宋" w:cs="仿宋"/>
          <w:sz w:val="32"/>
        </w:rPr>
        <w:t>非住宅产权调换房（办公）位于招商·一江璟城，现房，交房标准为毛坯房。</w:t>
      </w:r>
    </w:p>
    <w:bookmarkEnd w:id="1"/>
    <w:p w14:paraId="23B3807C">
      <w:pPr>
        <w:snapToGrid w:val="0"/>
        <w:spacing w:line="540" w:lineRule="exact"/>
        <w:ind w:firstLine="640" w:firstLineChars="200"/>
        <w:contextualSpacing/>
        <w:rPr>
          <w:rFonts w:hint="eastAsia" w:ascii="楷体" w:hAnsi="楷体" w:eastAsia="楷体" w:cs="楷体"/>
          <w:sz w:val="32"/>
          <w:szCs w:val="32"/>
        </w:rPr>
      </w:pPr>
      <w:r>
        <w:rPr>
          <w:rFonts w:hint="eastAsia" w:ascii="楷体" w:hAnsi="楷体" w:eastAsia="楷体" w:cs="楷体"/>
          <w:sz w:val="32"/>
          <w:szCs w:val="32"/>
        </w:rPr>
        <w:t>（二）直管、自管公有非住宅房屋补偿</w:t>
      </w:r>
    </w:p>
    <w:p w14:paraId="33F6134A">
      <w:pPr>
        <w:snapToGrid w:val="0"/>
        <w:spacing w:line="540" w:lineRule="exact"/>
        <w:ind w:firstLine="640" w:firstLineChars="200"/>
        <w:contextualSpacing/>
        <w:rPr>
          <w:rStyle w:val="11"/>
          <w:rFonts w:hint="eastAsia" w:ascii="仿宋" w:hAnsi="仿宋" w:eastAsia="仿宋" w:cs="仿宋"/>
          <w:sz w:val="32"/>
          <w:szCs w:val="32"/>
          <w:shd w:val="clear" w:color="auto" w:fill="FFFFFF"/>
        </w:rPr>
      </w:pPr>
      <w:r>
        <w:rPr>
          <w:rStyle w:val="11"/>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353510F0">
      <w:pPr>
        <w:snapToGrid w:val="0"/>
        <w:spacing w:line="540" w:lineRule="exact"/>
        <w:ind w:firstLine="640" w:firstLineChars="200"/>
        <w:contextualSpacing/>
        <w:rPr>
          <w:rStyle w:val="11"/>
          <w:rFonts w:hint="eastAsia" w:ascii="仿宋" w:hAnsi="仿宋" w:eastAsia="仿宋" w:cs="仿宋"/>
          <w:sz w:val="32"/>
          <w:szCs w:val="32"/>
          <w:shd w:val="clear" w:color="auto" w:fill="FFFFFF"/>
        </w:rPr>
      </w:pPr>
      <w:r>
        <w:rPr>
          <w:rStyle w:val="11"/>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1"/>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26712FE0">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（三）设备搬迁补偿</w:t>
      </w:r>
    </w:p>
    <w:p w14:paraId="41912D40">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571E69EA">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257B8AEE">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（四）临时安置补偿</w:t>
      </w:r>
    </w:p>
    <w:p w14:paraId="247D755F">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1DCE5185">
      <w:pPr>
        <w:snapToGrid w:val="0"/>
        <w:spacing w:line="54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1FED0DBF">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（五）停产停业损失补偿</w:t>
      </w:r>
    </w:p>
    <w:p w14:paraId="78713512">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1E934AC5">
      <w:pPr>
        <w:snapToGrid w:val="0"/>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1DBEA813">
      <w:pPr>
        <w:spacing w:line="520" w:lineRule="exact"/>
        <w:ind w:firstLine="640" w:firstLineChars="200"/>
        <w:rPr>
          <w:rFonts w:hint="eastAsia" w:ascii="楷体" w:hAnsi="楷体" w:eastAsia="楷体" w:cs="楷体"/>
          <w:sz w:val="32"/>
        </w:rPr>
      </w:pPr>
      <w:r>
        <w:rPr>
          <w:rFonts w:hint="eastAsia" w:ascii="楷体" w:hAnsi="楷体" w:eastAsia="楷体" w:cs="楷体"/>
          <w:sz w:val="32"/>
        </w:rPr>
        <w:t>（六）非住宅房屋改变用途的补助</w:t>
      </w:r>
    </w:p>
    <w:p w14:paraId="1093F116">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武汉市国有土地上房屋征收与补偿实施办法》公布前（即2012年12月3日前），对被征收人、公有房屋承租人改变非住宅房屋用途已作为商业门面（系指用于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给予补助，补助标准为两者价差的30%。</w:t>
      </w:r>
    </w:p>
    <w:p w14:paraId="64F2D326">
      <w:pPr>
        <w:snapToGrid w:val="0"/>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四、房屋附属设施补偿</w:t>
      </w:r>
    </w:p>
    <w:p w14:paraId="4CBF3CE2">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（一）室内装饰装修补偿</w:t>
      </w:r>
    </w:p>
    <w:p w14:paraId="43173446">
      <w:pPr>
        <w:snapToGrid w:val="0"/>
        <w:spacing w:line="52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175EEE5D">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（二）自行封闭阳台和搭建的夹层、假层、暗楼、无烟灶台、吊脚楼、外挑等的补偿</w:t>
      </w:r>
    </w:p>
    <w:p w14:paraId="44CA2463">
      <w:pPr>
        <w:spacing w:line="160" w:lineRule="exact"/>
        <w:rPr>
          <w:rFonts w:hint="eastAsia" w:ascii="仿宋" w:hAnsi="仿宋" w:eastAsia="仿宋" w:cs="仿宋"/>
          <w:sz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30"/>
        <w:gridCol w:w="2225"/>
        <w:gridCol w:w="2514"/>
      </w:tblGrid>
      <w:tr w14:paraId="2D37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5" w:type="dxa"/>
            <w:gridSpan w:val="2"/>
            <w:noWrap w:val="0"/>
            <w:vAlign w:val="center"/>
          </w:tcPr>
          <w:p w14:paraId="128C89E0">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225" w:type="dxa"/>
            <w:noWrap w:val="0"/>
            <w:vAlign w:val="center"/>
          </w:tcPr>
          <w:p w14:paraId="274D32EE">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514" w:type="dxa"/>
            <w:noWrap w:val="0"/>
            <w:vAlign w:val="center"/>
          </w:tcPr>
          <w:p w14:paraId="68798866">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631A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5" w:type="dxa"/>
            <w:vMerge w:val="restart"/>
            <w:noWrap w:val="0"/>
            <w:vAlign w:val="center"/>
          </w:tcPr>
          <w:p w14:paraId="55CB565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430" w:type="dxa"/>
            <w:noWrap w:val="0"/>
            <w:vAlign w:val="center"/>
          </w:tcPr>
          <w:p w14:paraId="1E98A14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225" w:type="dxa"/>
            <w:noWrap w:val="0"/>
            <w:vAlign w:val="center"/>
          </w:tcPr>
          <w:p w14:paraId="4BC2FC0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514" w:type="dxa"/>
            <w:noWrap w:val="0"/>
            <w:vAlign w:val="center"/>
          </w:tcPr>
          <w:p w14:paraId="74A5591A">
            <w:pPr>
              <w:widowControl/>
              <w:spacing w:line="360" w:lineRule="exact"/>
              <w:rPr>
                <w:rFonts w:hint="eastAsia" w:ascii="仿宋" w:hAnsi="仿宋" w:eastAsia="仿宋" w:cs="仿宋"/>
                <w:kern w:val="0"/>
                <w:sz w:val="24"/>
              </w:rPr>
            </w:pPr>
          </w:p>
        </w:tc>
      </w:tr>
      <w:tr w14:paraId="20CA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95" w:type="dxa"/>
            <w:vMerge w:val="continue"/>
            <w:noWrap w:val="0"/>
            <w:vAlign w:val="center"/>
          </w:tcPr>
          <w:p w14:paraId="2546480D">
            <w:pPr>
              <w:widowControl/>
              <w:spacing w:line="360" w:lineRule="exact"/>
              <w:jc w:val="left"/>
              <w:rPr>
                <w:rFonts w:hint="eastAsia" w:ascii="仿宋" w:hAnsi="仿宋" w:eastAsia="仿宋" w:cs="仿宋"/>
                <w:kern w:val="0"/>
                <w:sz w:val="24"/>
              </w:rPr>
            </w:pPr>
          </w:p>
        </w:tc>
        <w:tc>
          <w:tcPr>
            <w:tcW w:w="2430" w:type="dxa"/>
            <w:noWrap w:val="0"/>
            <w:vAlign w:val="center"/>
          </w:tcPr>
          <w:p w14:paraId="4AB6E73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225" w:type="dxa"/>
            <w:noWrap w:val="0"/>
            <w:vAlign w:val="center"/>
          </w:tcPr>
          <w:p w14:paraId="60AAF32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514" w:type="dxa"/>
            <w:noWrap w:val="0"/>
            <w:vAlign w:val="center"/>
          </w:tcPr>
          <w:p w14:paraId="16AA809B">
            <w:pPr>
              <w:widowControl/>
              <w:spacing w:line="360" w:lineRule="exact"/>
              <w:jc w:val="center"/>
              <w:rPr>
                <w:rFonts w:hint="eastAsia" w:ascii="仿宋" w:hAnsi="仿宋" w:eastAsia="仿宋" w:cs="仿宋"/>
                <w:kern w:val="0"/>
                <w:sz w:val="24"/>
              </w:rPr>
            </w:pPr>
          </w:p>
        </w:tc>
      </w:tr>
      <w:tr w14:paraId="1787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144F8B80">
            <w:pPr>
              <w:widowControl/>
              <w:spacing w:line="360" w:lineRule="exact"/>
              <w:jc w:val="left"/>
              <w:rPr>
                <w:rFonts w:hint="eastAsia" w:ascii="仿宋" w:hAnsi="仿宋" w:eastAsia="仿宋" w:cs="仿宋"/>
                <w:kern w:val="0"/>
                <w:sz w:val="24"/>
              </w:rPr>
            </w:pPr>
          </w:p>
        </w:tc>
        <w:tc>
          <w:tcPr>
            <w:tcW w:w="2430" w:type="dxa"/>
            <w:noWrap w:val="0"/>
            <w:vAlign w:val="center"/>
          </w:tcPr>
          <w:p w14:paraId="0F49486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225" w:type="dxa"/>
            <w:noWrap w:val="0"/>
            <w:vAlign w:val="center"/>
          </w:tcPr>
          <w:p w14:paraId="1D7D82A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514" w:type="dxa"/>
            <w:noWrap w:val="0"/>
            <w:vAlign w:val="center"/>
          </w:tcPr>
          <w:p w14:paraId="3378971A">
            <w:pPr>
              <w:widowControl/>
              <w:spacing w:line="360" w:lineRule="exact"/>
              <w:jc w:val="center"/>
              <w:rPr>
                <w:rFonts w:hint="eastAsia" w:ascii="仿宋" w:hAnsi="仿宋" w:eastAsia="仿宋" w:cs="仿宋"/>
                <w:kern w:val="0"/>
                <w:sz w:val="24"/>
              </w:rPr>
            </w:pPr>
          </w:p>
        </w:tc>
      </w:tr>
      <w:tr w14:paraId="1FAA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5" w:type="dxa"/>
            <w:vMerge w:val="restart"/>
            <w:noWrap w:val="0"/>
            <w:vAlign w:val="center"/>
          </w:tcPr>
          <w:p w14:paraId="06A9801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430" w:type="dxa"/>
            <w:noWrap w:val="0"/>
            <w:vAlign w:val="center"/>
          </w:tcPr>
          <w:p w14:paraId="155FA1C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225" w:type="dxa"/>
            <w:noWrap w:val="0"/>
            <w:vAlign w:val="center"/>
          </w:tcPr>
          <w:p w14:paraId="0F490ED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514" w:type="dxa"/>
            <w:vMerge w:val="restart"/>
            <w:noWrap w:val="0"/>
            <w:vAlign w:val="center"/>
          </w:tcPr>
          <w:p w14:paraId="12E10161">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1748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95" w:type="dxa"/>
            <w:vMerge w:val="continue"/>
            <w:noWrap w:val="0"/>
            <w:vAlign w:val="center"/>
          </w:tcPr>
          <w:p w14:paraId="6039D674">
            <w:pPr>
              <w:widowControl/>
              <w:spacing w:line="360" w:lineRule="exact"/>
              <w:jc w:val="left"/>
              <w:rPr>
                <w:rFonts w:hint="eastAsia" w:ascii="仿宋" w:hAnsi="仿宋" w:eastAsia="仿宋" w:cs="仿宋"/>
                <w:kern w:val="0"/>
                <w:sz w:val="24"/>
              </w:rPr>
            </w:pPr>
          </w:p>
        </w:tc>
        <w:tc>
          <w:tcPr>
            <w:tcW w:w="2430" w:type="dxa"/>
            <w:noWrap w:val="0"/>
            <w:vAlign w:val="center"/>
          </w:tcPr>
          <w:p w14:paraId="40D2DFE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225" w:type="dxa"/>
            <w:noWrap w:val="0"/>
            <w:vAlign w:val="center"/>
          </w:tcPr>
          <w:p w14:paraId="02D10BB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514" w:type="dxa"/>
            <w:vMerge w:val="continue"/>
            <w:noWrap w:val="0"/>
            <w:vAlign w:val="center"/>
          </w:tcPr>
          <w:p w14:paraId="122ACA39">
            <w:pPr>
              <w:widowControl/>
              <w:spacing w:line="360" w:lineRule="exact"/>
              <w:jc w:val="left"/>
              <w:rPr>
                <w:rFonts w:hint="eastAsia" w:ascii="仿宋" w:hAnsi="仿宋" w:eastAsia="仿宋" w:cs="仿宋"/>
                <w:kern w:val="0"/>
                <w:sz w:val="24"/>
              </w:rPr>
            </w:pPr>
          </w:p>
        </w:tc>
      </w:tr>
      <w:tr w14:paraId="7C36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95" w:type="dxa"/>
            <w:vMerge w:val="continue"/>
            <w:noWrap w:val="0"/>
            <w:vAlign w:val="center"/>
          </w:tcPr>
          <w:p w14:paraId="14426CEA">
            <w:pPr>
              <w:widowControl/>
              <w:spacing w:line="360" w:lineRule="exact"/>
              <w:jc w:val="left"/>
              <w:rPr>
                <w:rFonts w:hint="eastAsia" w:ascii="仿宋" w:hAnsi="仿宋" w:eastAsia="仿宋" w:cs="仿宋"/>
                <w:kern w:val="0"/>
                <w:sz w:val="24"/>
              </w:rPr>
            </w:pPr>
          </w:p>
        </w:tc>
        <w:tc>
          <w:tcPr>
            <w:tcW w:w="2430" w:type="dxa"/>
            <w:noWrap w:val="0"/>
            <w:vAlign w:val="center"/>
          </w:tcPr>
          <w:p w14:paraId="6E795C4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225" w:type="dxa"/>
            <w:noWrap w:val="0"/>
            <w:vAlign w:val="center"/>
          </w:tcPr>
          <w:p w14:paraId="6F57D32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514" w:type="dxa"/>
            <w:vMerge w:val="continue"/>
            <w:noWrap w:val="0"/>
            <w:vAlign w:val="center"/>
          </w:tcPr>
          <w:p w14:paraId="12602134">
            <w:pPr>
              <w:widowControl/>
              <w:spacing w:line="360" w:lineRule="exact"/>
              <w:jc w:val="left"/>
              <w:rPr>
                <w:rFonts w:hint="eastAsia" w:ascii="仿宋" w:hAnsi="仿宋" w:eastAsia="仿宋" w:cs="仿宋"/>
                <w:kern w:val="0"/>
                <w:sz w:val="24"/>
              </w:rPr>
            </w:pPr>
          </w:p>
        </w:tc>
      </w:tr>
      <w:tr w14:paraId="44DA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95" w:type="dxa"/>
            <w:vMerge w:val="continue"/>
            <w:noWrap w:val="0"/>
            <w:vAlign w:val="center"/>
          </w:tcPr>
          <w:p w14:paraId="02F59BDC">
            <w:pPr>
              <w:widowControl/>
              <w:spacing w:line="360" w:lineRule="exact"/>
              <w:jc w:val="left"/>
              <w:rPr>
                <w:rFonts w:hint="eastAsia" w:ascii="仿宋" w:hAnsi="仿宋" w:eastAsia="仿宋" w:cs="仿宋"/>
                <w:kern w:val="0"/>
                <w:sz w:val="24"/>
              </w:rPr>
            </w:pPr>
          </w:p>
        </w:tc>
        <w:tc>
          <w:tcPr>
            <w:tcW w:w="2430" w:type="dxa"/>
            <w:noWrap w:val="0"/>
            <w:vAlign w:val="center"/>
          </w:tcPr>
          <w:p w14:paraId="6C40E30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225" w:type="dxa"/>
            <w:noWrap w:val="0"/>
            <w:vAlign w:val="center"/>
          </w:tcPr>
          <w:p w14:paraId="6C57B57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514" w:type="dxa"/>
            <w:vMerge w:val="continue"/>
            <w:noWrap w:val="0"/>
            <w:vAlign w:val="center"/>
          </w:tcPr>
          <w:p w14:paraId="6D9D998A">
            <w:pPr>
              <w:widowControl/>
              <w:spacing w:line="360" w:lineRule="exact"/>
              <w:jc w:val="left"/>
              <w:rPr>
                <w:rFonts w:hint="eastAsia" w:ascii="仿宋" w:hAnsi="仿宋" w:eastAsia="仿宋" w:cs="仿宋"/>
                <w:kern w:val="0"/>
                <w:sz w:val="24"/>
              </w:rPr>
            </w:pPr>
          </w:p>
        </w:tc>
      </w:tr>
      <w:tr w14:paraId="4381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95" w:type="dxa"/>
            <w:noWrap w:val="0"/>
            <w:vAlign w:val="center"/>
          </w:tcPr>
          <w:p w14:paraId="0B0FA40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430" w:type="dxa"/>
            <w:noWrap w:val="0"/>
            <w:vAlign w:val="center"/>
          </w:tcPr>
          <w:p w14:paraId="47855CE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7AEB2BD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514" w:type="dxa"/>
            <w:noWrap w:val="0"/>
            <w:vAlign w:val="center"/>
          </w:tcPr>
          <w:p w14:paraId="3EA02F1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366F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5" w:type="dxa"/>
            <w:vMerge w:val="restart"/>
            <w:noWrap w:val="0"/>
            <w:vAlign w:val="center"/>
          </w:tcPr>
          <w:p w14:paraId="35CBFDC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430" w:type="dxa"/>
            <w:noWrap w:val="0"/>
            <w:vAlign w:val="center"/>
          </w:tcPr>
          <w:p w14:paraId="481DC1B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225" w:type="dxa"/>
            <w:noWrap w:val="0"/>
            <w:vAlign w:val="center"/>
          </w:tcPr>
          <w:p w14:paraId="025D6E7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514" w:type="dxa"/>
            <w:noWrap w:val="0"/>
            <w:vAlign w:val="center"/>
          </w:tcPr>
          <w:p w14:paraId="4DF757F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1222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95" w:type="dxa"/>
            <w:vMerge w:val="continue"/>
            <w:noWrap w:val="0"/>
            <w:vAlign w:val="center"/>
          </w:tcPr>
          <w:p w14:paraId="4EABEF2A">
            <w:pPr>
              <w:widowControl/>
              <w:spacing w:line="360" w:lineRule="exact"/>
              <w:jc w:val="left"/>
              <w:rPr>
                <w:rFonts w:hint="eastAsia" w:ascii="仿宋" w:hAnsi="仿宋" w:eastAsia="仿宋" w:cs="仿宋"/>
                <w:kern w:val="0"/>
                <w:sz w:val="24"/>
              </w:rPr>
            </w:pPr>
          </w:p>
        </w:tc>
        <w:tc>
          <w:tcPr>
            <w:tcW w:w="2430" w:type="dxa"/>
            <w:noWrap w:val="0"/>
            <w:vAlign w:val="center"/>
          </w:tcPr>
          <w:p w14:paraId="1C32AD1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225" w:type="dxa"/>
            <w:noWrap w:val="0"/>
            <w:vAlign w:val="center"/>
          </w:tcPr>
          <w:p w14:paraId="48CEFBD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4B78A5E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53F1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695" w:type="dxa"/>
            <w:vMerge w:val="restart"/>
            <w:noWrap w:val="0"/>
            <w:vAlign w:val="center"/>
          </w:tcPr>
          <w:p w14:paraId="7BDAE42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430" w:type="dxa"/>
            <w:noWrap w:val="0"/>
            <w:vAlign w:val="center"/>
          </w:tcPr>
          <w:p w14:paraId="4721970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225" w:type="dxa"/>
            <w:noWrap w:val="0"/>
            <w:vAlign w:val="center"/>
          </w:tcPr>
          <w:p w14:paraId="36D85E1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514" w:type="dxa"/>
            <w:vMerge w:val="restart"/>
            <w:noWrap w:val="0"/>
            <w:vAlign w:val="center"/>
          </w:tcPr>
          <w:p w14:paraId="1D323AAA">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6FE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695" w:type="dxa"/>
            <w:vMerge w:val="continue"/>
            <w:noWrap w:val="0"/>
            <w:vAlign w:val="center"/>
          </w:tcPr>
          <w:p w14:paraId="2B238936">
            <w:pPr>
              <w:widowControl/>
              <w:spacing w:line="360" w:lineRule="exact"/>
              <w:jc w:val="left"/>
              <w:rPr>
                <w:rFonts w:hint="eastAsia" w:ascii="仿宋" w:hAnsi="仿宋" w:eastAsia="仿宋" w:cs="仿宋"/>
                <w:kern w:val="0"/>
                <w:sz w:val="24"/>
                <w:u w:val="single"/>
              </w:rPr>
            </w:pPr>
          </w:p>
        </w:tc>
        <w:tc>
          <w:tcPr>
            <w:tcW w:w="2430" w:type="dxa"/>
            <w:noWrap w:val="0"/>
            <w:vAlign w:val="center"/>
          </w:tcPr>
          <w:p w14:paraId="5F6B9FC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225" w:type="dxa"/>
            <w:noWrap w:val="0"/>
            <w:vAlign w:val="center"/>
          </w:tcPr>
          <w:p w14:paraId="3156793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514" w:type="dxa"/>
            <w:vMerge w:val="continue"/>
            <w:noWrap w:val="0"/>
            <w:vAlign w:val="center"/>
          </w:tcPr>
          <w:p w14:paraId="326205B4">
            <w:pPr>
              <w:widowControl/>
              <w:spacing w:line="360" w:lineRule="exact"/>
              <w:jc w:val="center"/>
              <w:rPr>
                <w:rFonts w:hint="eastAsia" w:ascii="仿宋" w:hAnsi="仿宋" w:eastAsia="仿宋" w:cs="仿宋"/>
                <w:kern w:val="0"/>
                <w:sz w:val="24"/>
                <w:u w:val="single"/>
              </w:rPr>
            </w:pPr>
          </w:p>
        </w:tc>
      </w:tr>
      <w:tr w14:paraId="58C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95" w:type="dxa"/>
            <w:noWrap w:val="0"/>
            <w:vAlign w:val="center"/>
          </w:tcPr>
          <w:p w14:paraId="58AA859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430" w:type="dxa"/>
            <w:noWrap w:val="0"/>
            <w:vAlign w:val="center"/>
          </w:tcPr>
          <w:p w14:paraId="12FF3FA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70D7D50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514" w:type="dxa"/>
            <w:noWrap w:val="0"/>
            <w:vAlign w:val="center"/>
          </w:tcPr>
          <w:p w14:paraId="547C511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4EEE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95" w:type="dxa"/>
            <w:noWrap w:val="0"/>
            <w:vAlign w:val="center"/>
          </w:tcPr>
          <w:p w14:paraId="109A115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430" w:type="dxa"/>
            <w:noWrap w:val="0"/>
            <w:vAlign w:val="center"/>
          </w:tcPr>
          <w:p w14:paraId="1696DFE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c>
          <w:tcPr>
            <w:tcW w:w="2225" w:type="dxa"/>
            <w:noWrap w:val="0"/>
            <w:vAlign w:val="center"/>
          </w:tcPr>
          <w:p w14:paraId="7A8ABB00">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514" w:type="dxa"/>
            <w:noWrap w:val="0"/>
            <w:vAlign w:val="center"/>
          </w:tcPr>
          <w:p w14:paraId="400D655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　</w:t>
            </w:r>
          </w:p>
        </w:tc>
      </w:tr>
      <w:tr w14:paraId="60DB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695" w:type="dxa"/>
            <w:vMerge w:val="restart"/>
            <w:noWrap w:val="0"/>
            <w:vAlign w:val="center"/>
          </w:tcPr>
          <w:p w14:paraId="4B6C8D0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430" w:type="dxa"/>
            <w:noWrap w:val="0"/>
            <w:vAlign w:val="center"/>
          </w:tcPr>
          <w:p w14:paraId="091A369B">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225" w:type="dxa"/>
            <w:noWrap w:val="0"/>
            <w:vAlign w:val="center"/>
          </w:tcPr>
          <w:p w14:paraId="7655E5F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514" w:type="dxa"/>
            <w:vMerge w:val="restart"/>
            <w:noWrap w:val="0"/>
            <w:vAlign w:val="center"/>
          </w:tcPr>
          <w:p w14:paraId="183EB1B2">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127F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695" w:type="dxa"/>
            <w:vMerge w:val="continue"/>
            <w:noWrap w:val="0"/>
            <w:vAlign w:val="center"/>
          </w:tcPr>
          <w:p w14:paraId="10036AA2">
            <w:pPr>
              <w:widowControl/>
              <w:jc w:val="left"/>
              <w:rPr>
                <w:rFonts w:hint="eastAsia" w:ascii="仿宋" w:hAnsi="仿宋" w:eastAsia="仿宋" w:cs="仿宋"/>
                <w:kern w:val="0"/>
                <w:sz w:val="24"/>
              </w:rPr>
            </w:pPr>
          </w:p>
        </w:tc>
        <w:tc>
          <w:tcPr>
            <w:tcW w:w="2430" w:type="dxa"/>
            <w:noWrap w:val="0"/>
            <w:vAlign w:val="center"/>
          </w:tcPr>
          <w:p w14:paraId="2EE18AF7">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225" w:type="dxa"/>
            <w:noWrap w:val="0"/>
            <w:vAlign w:val="center"/>
          </w:tcPr>
          <w:p w14:paraId="0A3279E7">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514" w:type="dxa"/>
            <w:vMerge w:val="continue"/>
            <w:noWrap w:val="0"/>
            <w:vAlign w:val="center"/>
          </w:tcPr>
          <w:p w14:paraId="0F68FEC4">
            <w:pPr>
              <w:widowControl/>
              <w:jc w:val="left"/>
              <w:rPr>
                <w:rFonts w:hint="eastAsia" w:ascii="仿宋" w:hAnsi="仿宋" w:eastAsia="仿宋" w:cs="仿宋"/>
                <w:kern w:val="0"/>
                <w:sz w:val="24"/>
              </w:rPr>
            </w:pPr>
          </w:p>
        </w:tc>
      </w:tr>
    </w:tbl>
    <w:p w14:paraId="77C803DA">
      <w:pPr>
        <w:spacing w:line="120" w:lineRule="exact"/>
        <w:ind w:firstLine="640" w:firstLineChars="200"/>
        <w:rPr>
          <w:rFonts w:hint="eastAsia" w:ascii="仿宋" w:hAnsi="仿宋" w:eastAsia="仿宋" w:cs="仿宋"/>
          <w:sz w:val="32"/>
        </w:rPr>
      </w:pPr>
    </w:p>
    <w:p w14:paraId="6D073C41">
      <w:pPr>
        <w:spacing w:line="540"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34EF72DD">
      <w:pPr>
        <w:snapToGrid w:val="0"/>
        <w:spacing w:line="540" w:lineRule="exact"/>
        <w:ind w:firstLine="640" w:firstLineChars="200"/>
        <w:rPr>
          <w:rFonts w:hint="eastAsia" w:ascii="楷体" w:hAnsi="楷体" w:eastAsia="楷体" w:cs="楷体"/>
          <w:sz w:val="32"/>
        </w:rPr>
      </w:pPr>
      <w:r>
        <w:rPr>
          <w:rFonts w:hint="eastAsia" w:ascii="楷体" w:hAnsi="楷体" w:eastAsia="楷体" w:cs="楷体"/>
          <w:sz w:val="32"/>
        </w:rPr>
        <w:t>（三）附属物的补偿</w:t>
      </w:r>
    </w:p>
    <w:p w14:paraId="6D91DABC">
      <w:pPr>
        <w:spacing w:line="520"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16F276A4">
      <w:pPr>
        <w:snapToGrid w:val="0"/>
        <w:spacing w:line="520" w:lineRule="exact"/>
        <w:ind w:firstLine="640" w:firstLineChars="200"/>
        <w:rPr>
          <w:rFonts w:hint="eastAsia" w:ascii="楷体" w:hAnsi="楷体" w:eastAsia="楷体" w:cs="楷体"/>
          <w:sz w:val="32"/>
        </w:rPr>
      </w:pPr>
      <w:r>
        <w:rPr>
          <w:rFonts w:hint="eastAsia" w:ascii="楷体" w:hAnsi="楷体" w:eastAsia="楷体" w:cs="楷体"/>
          <w:sz w:val="32"/>
        </w:rPr>
        <w:t>（四）附属设施的补偿</w:t>
      </w:r>
    </w:p>
    <w:p w14:paraId="373E82BF">
      <w:pPr>
        <w:spacing w:line="520"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7CF48C72">
      <w:pPr>
        <w:spacing w:line="520"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51F10DAA">
      <w:pPr>
        <w:spacing w:line="520"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3FE96C34">
      <w:pPr>
        <w:spacing w:line="520"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45BB27B0">
      <w:pPr>
        <w:spacing w:line="520"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5A9ED96E">
      <w:pPr>
        <w:spacing w:line="520"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03D82B05">
      <w:pPr>
        <w:spacing w:line="520"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572483FA">
      <w:pPr>
        <w:spacing w:line="520"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4C9CAEE6">
      <w:pPr>
        <w:spacing w:line="520"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1DB695C9">
      <w:pPr>
        <w:spacing w:line="520"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46FD268B">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五、奖励</w:t>
      </w:r>
    </w:p>
    <w:p w14:paraId="6DDE8D80">
      <w:pPr>
        <w:spacing w:line="520" w:lineRule="exact"/>
        <w:ind w:firstLine="640" w:firstLineChars="200"/>
        <w:rPr>
          <w:rFonts w:hint="eastAsia" w:ascii="仿宋" w:hAnsi="仿宋" w:eastAsia="仿宋" w:cs="仿宋"/>
          <w:sz w:val="32"/>
        </w:rPr>
      </w:pPr>
      <w:r>
        <w:rPr>
          <w:rFonts w:hint="eastAsia" w:ascii="仿宋" w:hAnsi="仿宋" w:eastAsia="仿宋" w:cs="仿宋"/>
          <w:sz w:val="32"/>
        </w:rPr>
        <w:t>非住宅房屋签约奖励：在签约期限内签订补偿协议的，给予其签约奖励，标准为被征收房屋建筑面积（包括未经登记建筑）小于1000平方米的,奖励人民币5000元/户。</w:t>
      </w:r>
    </w:p>
    <w:p w14:paraId="6956625E">
      <w:pPr>
        <w:spacing w:line="52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六、其他事项</w:t>
      </w:r>
    </w:p>
    <w:p w14:paraId="161D6166">
      <w:pPr>
        <w:spacing w:line="520" w:lineRule="exact"/>
        <w:ind w:firstLine="640" w:firstLineChars="200"/>
        <w:rPr>
          <w:rFonts w:hint="eastAsia" w:ascii="仿宋" w:hAnsi="仿宋" w:eastAsia="仿宋" w:cs="仿宋"/>
          <w:sz w:val="32"/>
        </w:rPr>
      </w:pPr>
      <w:r>
        <w:rPr>
          <w:rFonts w:hint="eastAsia" w:ascii="仿宋" w:hAnsi="仿宋" w:eastAsia="仿宋" w:cs="仿宋"/>
          <w:sz w:val="32"/>
        </w:rPr>
        <w:t xml:space="preserve">（一）本方案未尽事宜按照国家及武汉市有关政策执行 </w:t>
      </w:r>
    </w:p>
    <w:p w14:paraId="7EB68A98">
      <w:pPr>
        <w:spacing w:line="520" w:lineRule="exact"/>
        <w:ind w:firstLine="640" w:firstLineChars="200"/>
        <w:rPr>
          <w:rFonts w:hint="eastAsia" w:ascii="仿宋" w:hAnsi="仿宋" w:eastAsia="仿宋" w:cs="仿宋"/>
          <w:sz w:val="32"/>
        </w:rPr>
      </w:pPr>
      <w:r>
        <w:rPr>
          <w:rFonts w:hint="eastAsia" w:ascii="仿宋" w:hAnsi="仿宋" w:eastAsia="仿宋" w:cs="仿宋"/>
          <w:sz w:val="32"/>
        </w:rPr>
        <w:t xml:space="preserve">（二）本方案由武汉市青山区住房和城市更新局负责解释 </w:t>
      </w:r>
    </w:p>
    <w:p w14:paraId="1EC7CED3">
      <w:pPr>
        <w:spacing w:line="520" w:lineRule="exact"/>
        <w:ind w:firstLine="640" w:firstLineChars="200"/>
        <w:rPr>
          <w:rFonts w:ascii="仿宋_GB2312" w:hAnsi="仿宋_GB2312" w:eastAsia="仿宋_GB2312" w:cs="仿宋_GB2312"/>
          <w:sz w:val="32"/>
        </w:rPr>
      </w:pPr>
    </w:p>
    <w:p w14:paraId="4FFBD657">
      <w:pPr>
        <w:spacing w:line="520" w:lineRule="exact"/>
        <w:ind w:firstLine="640" w:firstLineChars="200"/>
        <w:jc w:val="left"/>
        <w:rPr>
          <w:rFonts w:hint="eastAsia" w:ascii="仿宋" w:hAnsi="仿宋" w:eastAsia="仿宋" w:cs="仿宋"/>
          <w:sz w:val="32"/>
        </w:rPr>
      </w:pPr>
    </w:p>
    <w:p w14:paraId="692F12E4">
      <w:pPr>
        <w:spacing w:line="540" w:lineRule="exact"/>
        <w:ind w:firstLine="640" w:firstLineChars="200"/>
        <w:rPr>
          <w:rFonts w:hint="eastAsia" w:ascii="仿宋" w:hAnsi="仿宋" w:eastAsia="仿宋" w:cs="仿宋"/>
          <w:sz w:val="32"/>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19AED-B4DD-4F92-A406-A86123EC4C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463BF3F2-C019-428A-8C30-0F37AD8D4062}"/>
  </w:font>
  <w:font w:name="楷体_GB2312">
    <w:altName w:val="楷体"/>
    <w:panose1 w:val="02010609030101010101"/>
    <w:charset w:val="86"/>
    <w:family w:val="modern"/>
    <w:pitch w:val="default"/>
    <w:sig w:usb0="00000000" w:usb1="00000000" w:usb2="00000010" w:usb3="00000000" w:csb0="00040000" w:csb1="00000000"/>
    <w:embedRegular r:id="rId3" w:fontKey="{A426D51F-79EE-4DC4-9DCB-3B7194CC8D24}"/>
  </w:font>
  <w:font w:name="楷体">
    <w:panose1 w:val="02010609060101010101"/>
    <w:charset w:val="86"/>
    <w:family w:val="modern"/>
    <w:pitch w:val="default"/>
    <w:sig w:usb0="800002BF" w:usb1="38CF7CFA" w:usb2="00000016" w:usb3="00000000" w:csb0="00040001" w:csb1="00000000"/>
    <w:embedRegular r:id="rId4" w:fontKey="{553EE06B-B866-4904-943F-FB01001C844F}"/>
  </w:font>
  <w:font w:name="仿宋">
    <w:panose1 w:val="02010609060101010101"/>
    <w:charset w:val="86"/>
    <w:family w:val="modern"/>
    <w:pitch w:val="default"/>
    <w:sig w:usb0="800002BF" w:usb1="38CF7CFA" w:usb2="00000016" w:usb3="00000000" w:csb0="00040001" w:csb1="00000000"/>
    <w:embedRegular r:id="rId5" w:fontKey="{14BD0C68-C601-47DA-97F1-6866E1302C26}"/>
  </w:font>
  <w:font w:name="仿宋_GB2312">
    <w:altName w:val="仿宋"/>
    <w:panose1 w:val="00000000000000000000"/>
    <w:charset w:val="86"/>
    <w:family w:val="modern"/>
    <w:pitch w:val="default"/>
    <w:sig w:usb0="00000000" w:usb1="00000000" w:usb2="00000010" w:usb3="00000000" w:csb0="00040000" w:csb1="00000000"/>
    <w:embedRegular r:id="rId6" w:fontKey="{FBEBEB0B-4405-4B69-9553-68C53C06B8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13A0">
    <w:pPr>
      <w:pStyle w:val="5"/>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14:paraId="588DDD1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7377">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14:paraId="5BEB24C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DD7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MjY2ZWFjMzI5ODcwM2E0MjEzNmM2MDA0MzI2NTU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0A29"/>
    <w:rsid w:val="000F2612"/>
    <w:rsid w:val="000F5951"/>
    <w:rsid w:val="000F7537"/>
    <w:rsid w:val="000F7587"/>
    <w:rsid w:val="00105837"/>
    <w:rsid w:val="00106B95"/>
    <w:rsid w:val="0011343B"/>
    <w:rsid w:val="00114772"/>
    <w:rsid w:val="00120F89"/>
    <w:rsid w:val="001215A2"/>
    <w:rsid w:val="00121640"/>
    <w:rsid w:val="00122346"/>
    <w:rsid w:val="00125FD7"/>
    <w:rsid w:val="0012648B"/>
    <w:rsid w:val="00133763"/>
    <w:rsid w:val="00135BE1"/>
    <w:rsid w:val="00140C76"/>
    <w:rsid w:val="00141388"/>
    <w:rsid w:val="00146A7B"/>
    <w:rsid w:val="001560DB"/>
    <w:rsid w:val="00157000"/>
    <w:rsid w:val="0016264A"/>
    <w:rsid w:val="001637D0"/>
    <w:rsid w:val="00164FA7"/>
    <w:rsid w:val="00165050"/>
    <w:rsid w:val="00166118"/>
    <w:rsid w:val="00166F62"/>
    <w:rsid w:val="00167BF6"/>
    <w:rsid w:val="00182F82"/>
    <w:rsid w:val="001830F3"/>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C3F6B"/>
    <w:rsid w:val="001D3721"/>
    <w:rsid w:val="001D490B"/>
    <w:rsid w:val="001D677E"/>
    <w:rsid w:val="001D769F"/>
    <w:rsid w:val="001F7EA6"/>
    <w:rsid w:val="0020575F"/>
    <w:rsid w:val="00207425"/>
    <w:rsid w:val="002075A8"/>
    <w:rsid w:val="00207C81"/>
    <w:rsid w:val="0021380F"/>
    <w:rsid w:val="00220D9E"/>
    <w:rsid w:val="0022320B"/>
    <w:rsid w:val="00224B92"/>
    <w:rsid w:val="0022789E"/>
    <w:rsid w:val="002301F5"/>
    <w:rsid w:val="002328E4"/>
    <w:rsid w:val="00232DD8"/>
    <w:rsid w:val="00232F55"/>
    <w:rsid w:val="00233709"/>
    <w:rsid w:val="00234978"/>
    <w:rsid w:val="00242DA6"/>
    <w:rsid w:val="0024355D"/>
    <w:rsid w:val="0025013F"/>
    <w:rsid w:val="00251E41"/>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971E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20FB"/>
    <w:rsid w:val="003325BD"/>
    <w:rsid w:val="0033494B"/>
    <w:rsid w:val="00340FA6"/>
    <w:rsid w:val="00341058"/>
    <w:rsid w:val="00343B67"/>
    <w:rsid w:val="0034453A"/>
    <w:rsid w:val="00345BB1"/>
    <w:rsid w:val="00347BCC"/>
    <w:rsid w:val="00353A65"/>
    <w:rsid w:val="0035606D"/>
    <w:rsid w:val="003648DA"/>
    <w:rsid w:val="00364CA7"/>
    <w:rsid w:val="00365FA8"/>
    <w:rsid w:val="00370786"/>
    <w:rsid w:val="00370A97"/>
    <w:rsid w:val="003711D1"/>
    <w:rsid w:val="00384F8D"/>
    <w:rsid w:val="00387249"/>
    <w:rsid w:val="00390726"/>
    <w:rsid w:val="00390E32"/>
    <w:rsid w:val="003931D2"/>
    <w:rsid w:val="00394611"/>
    <w:rsid w:val="003979AF"/>
    <w:rsid w:val="003A1E53"/>
    <w:rsid w:val="003A5B98"/>
    <w:rsid w:val="003B018C"/>
    <w:rsid w:val="003B4A99"/>
    <w:rsid w:val="003B7CB6"/>
    <w:rsid w:val="003C5E90"/>
    <w:rsid w:val="003C787B"/>
    <w:rsid w:val="003D0B14"/>
    <w:rsid w:val="003D258B"/>
    <w:rsid w:val="003D4522"/>
    <w:rsid w:val="003D5E07"/>
    <w:rsid w:val="003D6ECB"/>
    <w:rsid w:val="003E25D7"/>
    <w:rsid w:val="003E7F5A"/>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3779E"/>
    <w:rsid w:val="00440BD4"/>
    <w:rsid w:val="004440DF"/>
    <w:rsid w:val="0044459D"/>
    <w:rsid w:val="00444C8F"/>
    <w:rsid w:val="00445012"/>
    <w:rsid w:val="00452498"/>
    <w:rsid w:val="00455CC7"/>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2AB0"/>
    <w:rsid w:val="004C7A7B"/>
    <w:rsid w:val="004D2B1E"/>
    <w:rsid w:val="004D2C5F"/>
    <w:rsid w:val="004D5C5E"/>
    <w:rsid w:val="004D65F1"/>
    <w:rsid w:val="004E06A4"/>
    <w:rsid w:val="004E1E6F"/>
    <w:rsid w:val="004E49D8"/>
    <w:rsid w:val="004E5F8C"/>
    <w:rsid w:val="004E6DBA"/>
    <w:rsid w:val="004E6E8D"/>
    <w:rsid w:val="004E765F"/>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0486"/>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4C7C"/>
    <w:rsid w:val="00665D65"/>
    <w:rsid w:val="00665EA5"/>
    <w:rsid w:val="00681CC9"/>
    <w:rsid w:val="006832FB"/>
    <w:rsid w:val="00690B50"/>
    <w:rsid w:val="006924E8"/>
    <w:rsid w:val="00692A1A"/>
    <w:rsid w:val="00692CC7"/>
    <w:rsid w:val="006970B0"/>
    <w:rsid w:val="0069776D"/>
    <w:rsid w:val="006978C0"/>
    <w:rsid w:val="006A0E6A"/>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4EA"/>
    <w:rsid w:val="00726B7E"/>
    <w:rsid w:val="00731D99"/>
    <w:rsid w:val="0073253A"/>
    <w:rsid w:val="007349E4"/>
    <w:rsid w:val="00735245"/>
    <w:rsid w:val="00741835"/>
    <w:rsid w:val="00741907"/>
    <w:rsid w:val="00745E0E"/>
    <w:rsid w:val="007515D9"/>
    <w:rsid w:val="00755363"/>
    <w:rsid w:val="0075601D"/>
    <w:rsid w:val="00761289"/>
    <w:rsid w:val="00761646"/>
    <w:rsid w:val="00762BF0"/>
    <w:rsid w:val="00767ACF"/>
    <w:rsid w:val="0077110E"/>
    <w:rsid w:val="007723E4"/>
    <w:rsid w:val="00772AE9"/>
    <w:rsid w:val="0077474F"/>
    <w:rsid w:val="00780579"/>
    <w:rsid w:val="00780F82"/>
    <w:rsid w:val="007816CE"/>
    <w:rsid w:val="00781CAA"/>
    <w:rsid w:val="00782061"/>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3F9E"/>
    <w:rsid w:val="007E478F"/>
    <w:rsid w:val="007F1F17"/>
    <w:rsid w:val="007F4D0D"/>
    <w:rsid w:val="007F53D4"/>
    <w:rsid w:val="007F669B"/>
    <w:rsid w:val="00803DD9"/>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4F72"/>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59D9"/>
    <w:rsid w:val="008A66F3"/>
    <w:rsid w:val="008A7D8F"/>
    <w:rsid w:val="008B11EB"/>
    <w:rsid w:val="008B6818"/>
    <w:rsid w:val="008C1C9D"/>
    <w:rsid w:val="008C2AD0"/>
    <w:rsid w:val="008C464E"/>
    <w:rsid w:val="008C4E2F"/>
    <w:rsid w:val="008C5F96"/>
    <w:rsid w:val="008D05BC"/>
    <w:rsid w:val="008D0FFF"/>
    <w:rsid w:val="008D490E"/>
    <w:rsid w:val="008D6092"/>
    <w:rsid w:val="008D6310"/>
    <w:rsid w:val="008D6E16"/>
    <w:rsid w:val="008E0021"/>
    <w:rsid w:val="008E0C84"/>
    <w:rsid w:val="008E10AF"/>
    <w:rsid w:val="00903928"/>
    <w:rsid w:val="009041A4"/>
    <w:rsid w:val="0090548A"/>
    <w:rsid w:val="009065E6"/>
    <w:rsid w:val="009078AB"/>
    <w:rsid w:val="00910399"/>
    <w:rsid w:val="00910E82"/>
    <w:rsid w:val="00910E9A"/>
    <w:rsid w:val="00912B11"/>
    <w:rsid w:val="00914CE5"/>
    <w:rsid w:val="00915432"/>
    <w:rsid w:val="009163F2"/>
    <w:rsid w:val="00916C61"/>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82D58"/>
    <w:rsid w:val="009969DB"/>
    <w:rsid w:val="00997306"/>
    <w:rsid w:val="009A348A"/>
    <w:rsid w:val="009A66CA"/>
    <w:rsid w:val="009A6990"/>
    <w:rsid w:val="009B1019"/>
    <w:rsid w:val="009B3016"/>
    <w:rsid w:val="009B4B20"/>
    <w:rsid w:val="009C0BF1"/>
    <w:rsid w:val="009C0D6D"/>
    <w:rsid w:val="009C4234"/>
    <w:rsid w:val="009C43CD"/>
    <w:rsid w:val="009D0E54"/>
    <w:rsid w:val="009D3497"/>
    <w:rsid w:val="009D363F"/>
    <w:rsid w:val="009E0502"/>
    <w:rsid w:val="009E13F7"/>
    <w:rsid w:val="009E1EB7"/>
    <w:rsid w:val="009E3FD5"/>
    <w:rsid w:val="009E5DF0"/>
    <w:rsid w:val="009E74AB"/>
    <w:rsid w:val="009F1265"/>
    <w:rsid w:val="009F2F71"/>
    <w:rsid w:val="009F6D7F"/>
    <w:rsid w:val="009F7447"/>
    <w:rsid w:val="00A0425B"/>
    <w:rsid w:val="00A0505A"/>
    <w:rsid w:val="00A059BA"/>
    <w:rsid w:val="00A06747"/>
    <w:rsid w:val="00A129A2"/>
    <w:rsid w:val="00A156A7"/>
    <w:rsid w:val="00A158AF"/>
    <w:rsid w:val="00A20C67"/>
    <w:rsid w:val="00A233F3"/>
    <w:rsid w:val="00A2409D"/>
    <w:rsid w:val="00A32D86"/>
    <w:rsid w:val="00A3359A"/>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954BE"/>
    <w:rsid w:val="00AA0BE2"/>
    <w:rsid w:val="00AA17BF"/>
    <w:rsid w:val="00AA198C"/>
    <w:rsid w:val="00AA2405"/>
    <w:rsid w:val="00AA2BD3"/>
    <w:rsid w:val="00AA5184"/>
    <w:rsid w:val="00AB1C95"/>
    <w:rsid w:val="00AB210E"/>
    <w:rsid w:val="00AB2330"/>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6B1E"/>
    <w:rsid w:val="00B079EC"/>
    <w:rsid w:val="00B12B14"/>
    <w:rsid w:val="00B17153"/>
    <w:rsid w:val="00B17A3F"/>
    <w:rsid w:val="00B17BCC"/>
    <w:rsid w:val="00B25E59"/>
    <w:rsid w:val="00B27F99"/>
    <w:rsid w:val="00B33888"/>
    <w:rsid w:val="00B3418F"/>
    <w:rsid w:val="00B346F6"/>
    <w:rsid w:val="00B34912"/>
    <w:rsid w:val="00B40868"/>
    <w:rsid w:val="00B40E33"/>
    <w:rsid w:val="00B42040"/>
    <w:rsid w:val="00B457C2"/>
    <w:rsid w:val="00B516AB"/>
    <w:rsid w:val="00B55C98"/>
    <w:rsid w:val="00B57CC5"/>
    <w:rsid w:val="00B61D01"/>
    <w:rsid w:val="00B63C13"/>
    <w:rsid w:val="00B74221"/>
    <w:rsid w:val="00B77167"/>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50BC"/>
    <w:rsid w:val="00BE57D8"/>
    <w:rsid w:val="00BE5BA6"/>
    <w:rsid w:val="00BF0915"/>
    <w:rsid w:val="00BF24DF"/>
    <w:rsid w:val="00BF2D86"/>
    <w:rsid w:val="00C032D8"/>
    <w:rsid w:val="00C03D27"/>
    <w:rsid w:val="00C04A2A"/>
    <w:rsid w:val="00C04C0F"/>
    <w:rsid w:val="00C064F2"/>
    <w:rsid w:val="00C06CC8"/>
    <w:rsid w:val="00C12338"/>
    <w:rsid w:val="00C22114"/>
    <w:rsid w:val="00C2295A"/>
    <w:rsid w:val="00C23AAF"/>
    <w:rsid w:val="00C26D91"/>
    <w:rsid w:val="00C33A72"/>
    <w:rsid w:val="00C346AB"/>
    <w:rsid w:val="00C34B62"/>
    <w:rsid w:val="00C42B0A"/>
    <w:rsid w:val="00C43A55"/>
    <w:rsid w:val="00C45130"/>
    <w:rsid w:val="00C45553"/>
    <w:rsid w:val="00C46FD7"/>
    <w:rsid w:val="00C5250B"/>
    <w:rsid w:val="00C53010"/>
    <w:rsid w:val="00C54510"/>
    <w:rsid w:val="00C55B9D"/>
    <w:rsid w:val="00C55BBB"/>
    <w:rsid w:val="00C57696"/>
    <w:rsid w:val="00C60543"/>
    <w:rsid w:val="00C611B9"/>
    <w:rsid w:val="00C65175"/>
    <w:rsid w:val="00C674E1"/>
    <w:rsid w:val="00C7545E"/>
    <w:rsid w:val="00C81AF9"/>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2C5A"/>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325"/>
    <w:rsid w:val="00D115F6"/>
    <w:rsid w:val="00D11D78"/>
    <w:rsid w:val="00D15978"/>
    <w:rsid w:val="00D217BA"/>
    <w:rsid w:val="00D23CAF"/>
    <w:rsid w:val="00D243DF"/>
    <w:rsid w:val="00D25FE8"/>
    <w:rsid w:val="00D31F40"/>
    <w:rsid w:val="00D3220A"/>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03D4"/>
    <w:rsid w:val="00DF50D7"/>
    <w:rsid w:val="00DF564D"/>
    <w:rsid w:val="00DF69B1"/>
    <w:rsid w:val="00DF6DA2"/>
    <w:rsid w:val="00E067ED"/>
    <w:rsid w:val="00E06EFA"/>
    <w:rsid w:val="00E11A47"/>
    <w:rsid w:val="00E1592F"/>
    <w:rsid w:val="00E2324B"/>
    <w:rsid w:val="00E26C0B"/>
    <w:rsid w:val="00E3355F"/>
    <w:rsid w:val="00E33756"/>
    <w:rsid w:val="00E3428A"/>
    <w:rsid w:val="00E3677E"/>
    <w:rsid w:val="00E37E94"/>
    <w:rsid w:val="00E41618"/>
    <w:rsid w:val="00E42665"/>
    <w:rsid w:val="00E4378F"/>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0BC1"/>
    <w:rsid w:val="00EB29AD"/>
    <w:rsid w:val="00EB3F9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3E85"/>
    <w:rsid w:val="00F05401"/>
    <w:rsid w:val="00F05499"/>
    <w:rsid w:val="00F10877"/>
    <w:rsid w:val="00F1608A"/>
    <w:rsid w:val="00F22FDD"/>
    <w:rsid w:val="00F232C4"/>
    <w:rsid w:val="00F2411E"/>
    <w:rsid w:val="00F25363"/>
    <w:rsid w:val="00F26FD8"/>
    <w:rsid w:val="00F31C3D"/>
    <w:rsid w:val="00F350A1"/>
    <w:rsid w:val="00F370D6"/>
    <w:rsid w:val="00F37DFA"/>
    <w:rsid w:val="00F37EFF"/>
    <w:rsid w:val="00F40215"/>
    <w:rsid w:val="00F41255"/>
    <w:rsid w:val="00F4240F"/>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8B9"/>
    <w:rsid w:val="00FD4FC8"/>
    <w:rsid w:val="00FD573B"/>
    <w:rsid w:val="00FE1EFB"/>
    <w:rsid w:val="00FE7483"/>
    <w:rsid w:val="00FF2D56"/>
    <w:rsid w:val="00FF75AF"/>
    <w:rsid w:val="01010DC0"/>
    <w:rsid w:val="01367ADD"/>
    <w:rsid w:val="01745FF5"/>
    <w:rsid w:val="01957316"/>
    <w:rsid w:val="019D75F7"/>
    <w:rsid w:val="01AB2E6B"/>
    <w:rsid w:val="02313956"/>
    <w:rsid w:val="028905F9"/>
    <w:rsid w:val="02B151EA"/>
    <w:rsid w:val="03632739"/>
    <w:rsid w:val="04296885"/>
    <w:rsid w:val="043427A3"/>
    <w:rsid w:val="04415E6D"/>
    <w:rsid w:val="044F1117"/>
    <w:rsid w:val="0453522B"/>
    <w:rsid w:val="04C51C83"/>
    <w:rsid w:val="052829F6"/>
    <w:rsid w:val="0643730D"/>
    <w:rsid w:val="074E1BEF"/>
    <w:rsid w:val="07782E40"/>
    <w:rsid w:val="07BD4F13"/>
    <w:rsid w:val="088253FE"/>
    <w:rsid w:val="08E6791B"/>
    <w:rsid w:val="09724122"/>
    <w:rsid w:val="0983157E"/>
    <w:rsid w:val="09BE654F"/>
    <w:rsid w:val="09FE1B14"/>
    <w:rsid w:val="0A4B6E35"/>
    <w:rsid w:val="0A8637B4"/>
    <w:rsid w:val="0AB1153C"/>
    <w:rsid w:val="0AB57847"/>
    <w:rsid w:val="0B4337E5"/>
    <w:rsid w:val="0D6059DD"/>
    <w:rsid w:val="0D89438B"/>
    <w:rsid w:val="0D995A70"/>
    <w:rsid w:val="0DBC33FF"/>
    <w:rsid w:val="0F50730F"/>
    <w:rsid w:val="0FD02638"/>
    <w:rsid w:val="11643A43"/>
    <w:rsid w:val="11DF51CC"/>
    <w:rsid w:val="12061235"/>
    <w:rsid w:val="12830B81"/>
    <w:rsid w:val="133643B2"/>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8F135D3"/>
    <w:rsid w:val="1BC17CE4"/>
    <w:rsid w:val="1BDE649D"/>
    <w:rsid w:val="1C4C74A6"/>
    <w:rsid w:val="1C705B17"/>
    <w:rsid w:val="1CB4332A"/>
    <w:rsid w:val="1CDC2A2A"/>
    <w:rsid w:val="1D4C5C70"/>
    <w:rsid w:val="1DD3408B"/>
    <w:rsid w:val="1DF66BF8"/>
    <w:rsid w:val="1E8A2924"/>
    <w:rsid w:val="1F1F544D"/>
    <w:rsid w:val="1FA53874"/>
    <w:rsid w:val="1FAA328C"/>
    <w:rsid w:val="1FB406F1"/>
    <w:rsid w:val="1FB5160F"/>
    <w:rsid w:val="200B6E17"/>
    <w:rsid w:val="204F7882"/>
    <w:rsid w:val="20921E64"/>
    <w:rsid w:val="209C4C11"/>
    <w:rsid w:val="20AC74DA"/>
    <w:rsid w:val="20AE01CD"/>
    <w:rsid w:val="20B827A2"/>
    <w:rsid w:val="20D44126"/>
    <w:rsid w:val="20D57BBC"/>
    <w:rsid w:val="219A375E"/>
    <w:rsid w:val="224D3FBB"/>
    <w:rsid w:val="22596EC8"/>
    <w:rsid w:val="22957529"/>
    <w:rsid w:val="240F669E"/>
    <w:rsid w:val="243E1878"/>
    <w:rsid w:val="245F7EA8"/>
    <w:rsid w:val="249662D1"/>
    <w:rsid w:val="250B253B"/>
    <w:rsid w:val="262C735E"/>
    <w:rsid w:val="263E1E43"/>
    <w:rsid w:val="26644119"/>
    <w:rsid w:val="268771FA"/>
    <w:rsid w:val="26FF47BB"/>
    <w:rsid w:val="274E52FB"/>
    <w:rsid w:val="27620A8F"/>
    <w:rsid w:val="27F14E73"/>
    <w:rsid w:val="2853095F"/>
    <w:rsid w:val="287D47BB"/>
    <w:rsid w:val="289420D5"/>
    <w:rsid w:val="29FE0490"/>
    <w:rsid w:val="2A176942"/>
    <w:rsid w:val="2A2A25FB"/>
    <w:rsid w:val="2AE6496D"/>
    <w:rsid w:val="2BA813D4"/>
    <w:rsid w:val="2CC54818"/>
    <w:rsid w:val="2CCE1B34"/>
    <w:rsid w:val="2CEB4FFF"/>
    <w:rsid w:val="2CF61E37"/>
    <w:rsid w:val="2CFF066C"/>
    <w:rsid w:val="2D306F77"/>
    <w:rsid w:val="2D3A1CC6"/>
    <w:rsid w:val="2E08144F"/>
    <w:rsid w:val="2E0F2B31"/>
    <w:rsid w:val="2EF73799"/>
    <w:rsid w:val="2F3D4C69"/>
    <w:rsid w:val="30121E3C"/>
    <w:rsid w:val="305F1B4D"/>
    <w:rsid w:val="30B6207A"/>
    <w:rsid w:val="315D1F7D"/>
    <w:rsid w:val="322D548C"/>
    <w:rsid w:val="326049E1"/>
    <w:rsid w:val="3268667D"/>
    <w:rsid w:val="32F522F5"/>
    <w:rsid w:val="3332126F"/>
    <w:rsid w:val="33397294"/>
    <w:rsid w:val="334751EA"/>
    <w:rsid w:val="334A6C01"/>
    <w:rsid w:val="338F7005"/>
    <w:rsid w:val="33900A00"/>
    <w:rsid w:val="339235B1"/>
    <w:rsid w:val="34784FC7"/>
    <w:rsid w:val="347D4B77"/>
    <w:rsid w:val="364C65C2"/>
    <w:rsid w:val="36CC2B25"/>
    <w:rsid w:val="36F23152"/>
    <w:rsid w:val="371F5706"/>
    <w:rsid w:val="37AF3792"/>
    <w:rsid w:val="37C61A7B"/>
    <w:rsid w:val="38322A41"/>
    <w:rsid w:val="39466C47"/>
    <w:rsid w:val="39A527B5"/>
    <w:rsid w:val="3A2325A9"/>
    <w:rsid w:val="3A361B71"/>
    <w:rsid w:val="3B1A7B41"/>
    <w:rsid w:val="3B3B235D"/>
    <w:rsid w:val="3B902FB6"/>
    <w:rsid w:val="3BA91C9B"/>
    <w:rsid w:val="3C254D17"/>
    <w:rsid w:val="3C502786"/>
    <w:rsid w:val="3C594B51"/>
    <w:rsid w:val="3D203667"/>
    <w:rsid w:val="3DA7402E"/>
    <w:rsid w:val="3E35213F"/>
    <w:rsid w:val="3F080E19"/>
    <w:rsid w:val="3F0E24F4"/>
    <w:rsid w:val="3F305696"/>
    <w:rsid w:val="40B42A9D"/>
    <w:rsid w:val="40D466D5"/>
    <w:rsid w:val="40F17343"/>
    <w:rsid w:val="414324F8"/>
    <w:rsid w:val="414D6B19"/>
    <w:rsid w:val="418519FA"/>
    <w:rsid w:val="41C919E6"/>
    <w:rsid w:val="41EC6AFB"/>
    <w:rsid w:val="42012F0A"/>
    <w:rsid w:val="42092871"/>
    <w:rsid w:val="42811B47"/>
    <w:rsid w:val="42ED62DA"/>
    <w:rsid w:val="4327346E"/>
    <w:rsid w:val="43420FF6"/>
    <w:rsid w:val="43CA332A"/>
    <w:rsid w:val="4449559B"/>
    <w:rsid w:val="44A40821"/>
    <w:rsid w:val="452242D2"/>
    <w:rsid w:val="467B3750"/>
    <w:rsid w:val="469D191E"/>
    <w:rsid w:val="46CF3628"/>
    <w:rsid w:val="470F436D"/>
    <w:rsid w:val="47390BDC"/>
    <w:rsid w:val="474A792F"/>
    <w:rsid w:val="474E7D1A"/>
    <w:rsid w:val="488046C6"/>
    <w:rsid w:val="48F44E94"/>
    <w:rsid w:val="492C2636"/>
    <w:rsid w:val="4977185E"/>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2495D62"/>
    <w:rsid w:val="530B2E17"/>
    <w:rsid w:val="534A43E6"/>
    <w:rsid w:val="53A13E55"/>
    <w:rsid w:val="53EC042A"/>
    <w:rsid w:val="54042084"/>
    <w:rsid w:val="547A6AB3"/>
    <w:rsid w:val="55205C56"/>
    <w:rsid w:val="558C4615"/>
    <w:rsid w:val="55D44791"/>
    <w:rsid w:val="5737262D"/>
    <w:rsid w:val="58454F67"/>
    <w:rsid w:val="599923BD"/>
    <w:rsid w:val="59AC1F4B"/>
    <w:rsid w:val="5A1E43E7"/>
    <w:rsid w:val="5ABC576C"/>
    <w:rsid w:val="5B2A0381"/>
    <w:rsid w:val="5BE86016"/>
    <w:rsid w:val="5C666B0F"/>
    <w:rsid w:val="5CB70498"/>
    <w:rsid w:val="5CBD3291"/>
    <w:rsid w:val="5CCB3F43"/>
    <w:rsid w:val="5D015E23"/>
    <w:rsid w:val="5D05398F"/>
    <w:rsid w:val="5DCA77DC"/>
    <w:rsid w:val="5E1C359A"/>
    <w:rsid w:val="5E4A02CB"/>
    <w:rsid w:val="5E7B4399"/>
    <w:rsid w:val="5F1C03B7"/>
    <w:rsid w:val="5FF64B50"/>
    <w:rsid w:val="60740AF6"/>
    <w:rsid w:val="609B00D0"/>
    <w:rsid w:val="60B71D43"/>
    <w:rsid w:val="617233CF"/>
    <w:rsid w:val="61725D9A"/>
    <w:rsid w:val="61954B1F"/>
    <w:rsid w:val="62233B87"/>
    <w:rsid w:val="622A1090"/>
    <w:rsid w:val="622B2271"/>
    <w:rsid w:val="626F420C"/>
    <w:rsid w:val="62740D28"/>
    <w:rsid w:val="62B84990"/>
    <w:rsid w:val="633D46EA"/>
    <w:rsid w:val="640C3779"/>
    <w:rsid w:val="649742DE"/>
    <w:rsid w:val="650F4991"/>
    <w:rsid w:val="651E632E"/>
    <w:rsid w:val="659636D0"/>
    <w:rsid w:val="65C7764C"/>
    <w:rsid w:val="67484FCE"/>
    <w:rsid w:val="676A3A2A"/>
    <w:rsid w:val="67BA66EE"/>
    <w:rsid w:val="67CB36F0"/>
    <w:rsid w:val="67FA7A1E"/>
    <w:rsid w:val="68473869"/>
    <w:rsid w:val="688C1CA1"/>
    <w:rsid w:val="69334486"/>
    <w:rsid w:val="695843F6"/>
    <w:rsid w:val="69CD44C1"/>
    <w:rsid w:val="69FE49DF"/>
    <w:rsid w:val="6A0F4BED"/>
    <w:rsid w:val="6A457CBB"/>
    <w:rsid w:val="6AA87672"/>
    <w:rsid w:val="6AD95A7D"/>
    <w:rsid w:val="6B171C62"/>
    <w:rsid w:val="6BC02799"/>
    <w:rsid w:val="6BE804CC"/>
    <w:rsid w:val="6C8C7FEB"/>
    <w:rsid w:val="6D490C1C"/>
    <w:rsid w:val="6DC57D4F"/>
    <w:rsid w:val="6E5050A7"/>
    <w:rsid w:val="6EC45F46"/>
    <w:rsid w:val="6EEB5BB0"/>
    <w:rsid w:val="70184F76"/>
    <w:rsid w:val="70435AC5"/>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8960B1"/>
    <w:rsid w:val="789348AE"/>
    <w:rsid w:val="78AF606F"/>
    <w:rsid w:val="78DE573F"/>
    <w:rsid w:val="796BDB95"/>
    <w:rsid w:val="799C222E"/>
    <w:rsid w:val="7AEB688F"/>
    <w:rsid w:val="7BB51BEE"/>
    <w:rsid w:val="7BD137C8"/>
    <w:rsid w:val="7C483F86"/>
    <w:rsid w:val="7C7C69B3"/>
    <w:rsid w:val="7D3043A8"/>
    <w:rsid w:val="7D796738"/>
    <w:rsid w:val="7D7F7036"/>
    <w:rsid w:val="7E3C03A5"/>
    <w:rsid w:val="7EEC57A3"/>
    <w:rsid w:val="7F8608E0"/>
    <w:rsid w:val="7FE61128"/>
    <w:rsid w:val="BEF940A6"/>
    <w:rsid w:val="E33ECBFD"/>
    <w:rsid w:val="FDDD7915"/>
    <w:rsid w:val="FFFEC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color w:val="000000"/>
    </w:rPr>
  </w:style>
  <w:style w:type="paragraph" w:styleId="4">
    <w:name w:val="Balloon Text"/>
    <w:basedOn w:val="1"/>
    <w:qFormat/>
    <w:uiPriority w:val="0"/>
    <w:rPr>
      <w:sz w:val="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apple-style-span"/>
    <w:qFormat/>
    <w:uiPriority w:val="0"/>
  </w:style>
  <w:style w:type="character" w:customStyle="1" w:styleId="12">
    <w:name w:val="页脚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3212</Words>
  <Characters>3353</Characters>
  <Lines>41</Lines>
  <Paragraphs>11</Paragraphs>
  <TotalTime>0</TotalTime>
  <ScaleCrop>false</ScaleCrop>
  <LinksUpToDate>false</LinksUpToDate>
  <CharactersWithSpaces>3365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2025-07-24T09:06:00Z</dcterms:created>
  <dc:creator>雨林木风</dc:creator>
  <cp:lastModifiedBy>洪波</cp:lastModifiedBy>
  <cp:lastPrinted>2024-09-13T18:27:00Z</cp:lastPrinted>
  <dcterms:modified xsi:type="dcterms:W3CDTF">2025-11-26T00:05:32Z</dcterms:modified>
  <dc:title>青山区N地块旧城区改建项目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B4CD2063E6C64C92BC1B478FC970625C_13</vt:lpwstr>
  </property>
  <property fmtid="{D5CDD505-2E9C-101B-9397-08002B2CF9AE}" pid="4" name="KSOTemplateDocerSaveRecord">
    <vt:lpwstr>eyJoZGlkIjoiMTQ1YWI5YmVkMTYwMzMyMDgzYjg3NDNlYmE2ZDg1NjYiLCJ1c2VySWQiOiIxOTYxMDEyNTMifQ==</vt:lpwstr>
  </property>
</Properties>
</file>