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D5552">
      <w:pPr>
        <w:snapToGrid w:val="0"/>
        <w:spacing w:line="288" w:lineRule="auto"/>
        <w:ind w:right="730" w:rightChars="228"/>
        <w:jc w:val="left"/>
        <w:rPr>
          <w:rFonts w:hint="eastAsia" w:ascii="黑体" w:hAnsi="黑体" w:eastAsia="黑体" w:cs="方正小标宋简体"/>
          <w:bCs/>
          <w:spacing w:val="11"/>
          <w:szCs w:val="32"/>
        </w:rPr>
      </w:pPr>
      <w:r>
        <w:rPr>
          <w:rFonts w:hint="eastAsia" w:ascii="黑体" w:hAnsi="黑体" w:eastAsia="黑体" w:cs="方正小标宋简体"/>
          <w:bCs/>
          <w:spacing w:val="11"/>
          <w:szCs w:val="32"/>
        </w:rPr>
        <w:t>附件：</w:t>
      </w:r>
    </w:p>
    <w:p w14:paraId="38AA6B8A">
      <w:pPr>
        <w:snapToGrid w:val="0"/>
        <w:spacing w:line="660" w:lineRule="exact"/>
        <w:ind w:right="730" w:rightChars="228" w:firstLine="420"/>
        <w:jc w:val="center"/>
        <w:rPr>
          <w:rFonts w:hint="eastAsia" w:ascii="方正小标宋简体" w:hAnsi="方正小标宋简体" w:eastAsia="方正小标宋简体" w:cs="方正小标宋简体"/>
          <w:bCs/>
          <w:spacing w:val="11"/>
          <w:sz w:val="44"/>
          <w:szCs w:val="44"/>
        </w:rPr>
      </w:pPr>
      <w:r>
        <w:rPr>
          <w:rFonts w:hint="eastAsia" w:ascii="方正小标宋简体" w:hAnsi="方正小标宋简体" w:eastAsia="方正小标宋简体" w:cs="方正小标宋简体"/>
          <w:bCs/>
          <w:spacing w:val="11"/>
          <w:sz w:val="44"/>
          <w:szCs w:val="44"/>
        </w:rPr>
        <w:t>化工新材料中试验证基地征收</w:t>
      </w:r>
    </w:p>
    <w:p w14:paraId="7360BF4F">
      <w:pPr>
        <w:snapToGrid w:val="0"/>
        <w:spacing w:line="6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w:t>
      </w:r>
      <w:bookmarkStart w:id="0" w:name="_GoBack"/>
      <w:bookmarkEnd w:id="0"/>
      <w:r>
        <w:rPr>
          <w:rFonts w:hint="eastAsia" w:ascii="方正小标宋简体" w:hAnsi="方正小标宋简体" w:eastAsia="方正小标宋简体" w:cs="方正小标宋简体"/>
          <w:bCs/>
          <w:sz w:val="44"/>
          <w:szCs w:val="44"/>
        </w:rPr>
        <w:t>征收补偿方案</w:t>
      </w:r>
    </w:p>
    <w:p w14:paraId="46543A5E">
      <w:pPr>
        <w:snapToGrid w:val="0"/>
        <w:spacing w:line="579" w:lineRule="exact"/>
        <w:ind w:firstLine="3520" w:firstLineChars="1100"/>
        <w:rPr>
          <w:rFonts w:hint="eastAsia" w:ascii="楷体_GB2312" w:eastAsia="楷体_GB2312"/>
          <w:bCs/>
          <w:color w:val="000000"/>
          <w:szCs w:val="32"/>
        </w:rPr>
      </w:pPr>
      <w:r>
        <w:rPr>
          <w:rFonts w:hint="eastAsia" w:ascii="楷体_GB2312" w:eastAsia="楷体_GB2312"/>
          <w:bCs/>
          <w:color w:val="000000"/>
          <w:szCs w:val="32"/>
        </w:rPr>
        <w:t>(修订稿)</w:t>
      </w:r>
    </w:p>
    <w:p w14:paraId="1E83F9B4">
      <w:pPr>
        <w:pStyle w:val="2"/>
        <w:spacing w:line="579" w:lineRule="exact"/>
        <w:rPr>
          <w:color w:val="000000"/>
        </w:rPr>
      </w:pPr>
    </w:p>
    <w:p w14:paraId="0D6DC471">
      <w:pPr>
        <w:autoSpaceDE w:val="0"/>
        <w:autoSpaceDN w:val="0"/>
        <w:adjustRightInd w:val="0"/>
        <w:snapToGrid w:val="0"/>
        <w:spacing w:line="579" w:lineRule="exact"/>
        <w:ind w:firstLine="641"/>
        <w:rPr>
          <w:rFonts w:hint="eastAsia" w:ascii="仿宋_GB2312" w:eastAsia="仿宋_GB2312"/>
          <w:color w:val="000000"/>
          <w:szCs w:val="32"/>
        </w:rPr>
      </w:pPr>
      <w:r>
        <w:rPr>
          <w:rFonts w:hint="eastAsia" w:ascii="仿宋_GB2312" w:eastAsia="仿宋_GB2312"/>
          <w:color w:val="000000"/>
          <w:szCs w:val="32"/>
        </w:rPr>
        <w:t>为加快旧城区改建，根据《国有土地上房屋征收与补偿条例》（国务院令第590号）等相关法律法规规定，青山区人民政府拟化工新材料中试验证基地征收项目实施征收。该项目已纳入青山区2025年国民经济和社会发展计划，列入2025年度全市中心城区城市更新及房屋征收计划,并已取得武汉市青山区自然资源和城乡建设局《关于化工新材料中试验证基地征收项目的规划意见》（武自然资建（青）函〔2025〕019号）。为依法实施征收补偿工作，保障被征收人的合法权益，现制定本项目征收补偿方案。</w:t>
      </w:r>
    </w:p>
    <w:p w14:paraId="0BB801A6">
      <w:pPr>
        <w:snapToGrid w:val="0"/>
        <w:spacing w:line="579" w:lineRule="exact"/>
        <w:ind w:firstLine="640" w:firstLineChars="200"/>
        <w:rPr>
          <w:rFonts w:hint="eastAsia" w:ascii="黑体" w:eastAsia="黑体"/>
          <w:color w:val="000000"/>
          <w:szCs w:val="32"/>
        </w:rPr>
      </w:pPr>
      <w:r>
        <w:rPr>
          <w:rFonts w:hint="eastAsia" w:ascii="黑体" w:eastAsia="黑体"/>
          <w:color w:val="000000"/>
          <w:szCs w:val="32"/>
        </w:rPr>
        <w:t>一、法律依据</w:t>
      </w:r>
    </w:p>
    <w:p w14:paraId="54C243E7">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（一）《国有土地上房屋征收与补偿条例》（中华人民共和国国务院令第590号）</w:t>
      </w:r>
    </w:p>
    <w:p w14:paraId="4051A504">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（二）《湖北省国有土地上房屋征收与补偿实施办法》（湖北省人民政府令第380号）</w:t>
      </w:r>
    </w:p>
    <w:p w14:paraId="2ABD3926">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（三）《武汉市国有土地上房屋征收与补偿实施办法》（武汉市人民政府令第234号公布，第275号令修改，第312号令第二次修改，第322号令第三次修改）</w:t>
      </w:r>
    </w:p>
    <w:p w14:paraId="09CD7BCD">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（四）《市人民政府关于印发武汉市国有土地上房屋征收与补偿操作指引的通知》（武政规〔2023〕7号）</w:t>
      </w:r>
    </w:p>
    <w:p w14:paraId="55583CB2">
      <w:pPr>
        <w:snapToGrid w:val="0"/>
        <w:spacing w:line="579" w:lineRule="exact"/>
        <w:ind w:firstLine="596" w:firstLineChars="200"/>
        <w:rPr>
          <w:rFonts w:hint="eastAsia" w:ascii="仿宋_GB2312" w:hAnsi="仿宋_GB2312" w:eastAsia="仿宋_GB2312" w:cs="仿宋_GB2312"/>
          <w:color w:val="000000"/>
          <w:spacing w:val="-11"/>
          <w:szCs w:val="32"/>
        </w:rPr>
      </w:pPr>
      <w:r>
        <w:rPr>
          <w:rFonts w:hint="eastAsia" w:ascii="仿宋_GB2312" w:hAnsi="仿宋_GB2312" w:eastAsia="仿宋_GB2312" w:cs="仿宋_GB2312"/>
          <w:color w:val="000000"/>
          <w:spacing w:val="-11"/>
          <w:szCs w:val="32"/>
        </w:rPr>
        <w:t>（五）《国有土地上房屋征收评估办法》（建房〔2011〕77号）</w:t>
      </w:r>
    </w:p>
    <w:p w14:paraId="4C40207B">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（六）其他相关法律法规</w:t>
      </w:r>
    </w:p>
    <w:p w14:paraId="7954451B">
      <w:pPr>
        <w:snapToGrid w:val="0"/>
        <w:spacing w:line="579" w:lineRule="exact"/>
        <w:ind w:firstLine="640" w:firstLineChars="200"/>
        <w:rPr>
          <w:rFonts w:hint="eastAsia" w:ascii="黑体" w:eastAsia="黑体"/>
          <w:color w:val="000000"/>
          <w:szCs w:val="32"/>
        </w:rPr>
      </w:pPr>
      <w:r>
        <w:rPr>
          <w:rFonts w:hint="eastAsia" w:ascii="黑体" w:eastAsia="黑体"/>
          <w:color w:val="000000"/>
          <w:szCs w:val="32"/>
        </w:rPr>
        <w:t>二、基本情况</w:t>
      </w:r>
    </w:p>
    <w:p w14:paraId="5BFBBDE5">
      <w:pPr>
        <w:snapToGrid w:val="0"/>
        <w:spacing w:line="579" w:lineRule="exact"/>
        <w:ind w:firstLine="640" w:firstLineChars="200"/>
        <w:rPr>
          <w:rFonts w:hint="eastAsia" w:ascii="楷体_GB2312" w:hAnsi="楷体" w:eastAsia="楷体_GB2312" w:cs="楷体"/>
          <w:color w:val="000000"/>
          <w:szCs w:val="32"/>
        </w:rPr>
      </w:pPr>
      <w:r>
        <w:rPr>
          <w:rFonts w:hint="eastAsia" w:ascii="楷体_GB2312" w:hAnsi="楷体" w:eastAsia="楷体_GB2312" w:cs="楷体"/>
          <w:color w:val="000000"/>
          <w:szCs w:val="32"/>
        </w:rPr>
        <w:t>（一）项目名称</w:t>
      </w:r>
    </w:p>
    <w:p w14:paraId="095A9ED6">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 w:eastAsia="仿宋_GB2312"/>
          <w:color w:val="000000"/>
          <w:szCs w:val="32"/>
        </w:rPr>
        <w:t>化工新材料中试验证基地征收项目</w:t>
      </w:r>
      <w:r>
        <w:rPr>
          <w:rFonts w:hint="eastAsia" w:ascii="仿宋_GB2312" w:hAnsi="仿宋_GB2312" w:eastAsia="仿宋_GB2312" w:cs="仿宋_GB2312"/>
          <w:color w:val="000000"/>
          <w:szCs w:val="32"/>
        </w:rPr>
        <w:t>。</w:t>
      </w:r>
    </w:p>
    <w:p w14:paraId="3843496B">
      <w:pPr>
        <w:snapToGrid w:val="0"/>
        <w:spacing w:line="579" w:lineRule="exact"/>
        <w:ind w:firstLine="640" w:firstLineChars="200"/>
        <w:rPr>
          <w:rFonts w:hint="eastAsia" w:ascii="楷体_GB2312" w:hAnsi="楷体" w:eastAsia="楷体_GB2312" w:cs="楷体"/>
          <w:color w:val="000000"/>
          <w:szCs w:val="32"/>
        </w:rPr>
      </w:pPr>
      <w:r>
        <w:rPr>
          <w:rFonts w:hint="eastAsia" w:ascii="楷体_GB2312" w:hAnsi="楷体" w:eastAsia="楷体_GB2312" w:cs="楷体"/>
          <w:color w:val="000000"/>
          <w:szCs w:val="32"/>
        </w:rPr>
        <w:t>（二）征收目的</w:t>
      </w:r>
    </w:p>
    <w:p w14:paraId="5940D359">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旧城区改建。</w:t>
      </w:r>
    </w:p>
    <w:p w14:paraId="33B99951">
      <w:pPr>
        <w:snapToGrid w:val="0"/>
        <w:spacing w:line="579" w:lineRule="exact"/>
        <w:ind w:firstLine="640" w:firstLineChars="200"/>
        <w:rPr>
          <w:rFonts w:hint="eastAsia" w:ascii="楷体_GB2312" w:hAnsi="楷体" w:eastAsia="楷体_GB2312" w:cs="楷体"/>
          <w:color w:val="000000"/>
          <w:szCs w:val="32"/>
        </w:rPr>
      </w:pPr>
      <w:r>
        <w:rPr>
          <w:rFonts w:hint="eastAsia" w:ascii="楷体_GB2312" w:hAnsi="楷体" w:eastAsia="楷体_GB2312" w:cs="楷体"/>
          <w:color w:val="000000"/>
          <w:szCs w:val="32"/>
        </w:rPr>
        <w:t>（三）征收范围</w:t>
      </w:r>
    </w:p>
    <w:p w14:paraId="0DF511AF">
      <w:pPr>
        <w:snapToGrid w:val="0"/>
        <w:spacing w:line="579" w:lineRule="exact"/>
        <w:ind w:firstLine="596" w:firstLineChars="200"/>
        <w:rPr>
          <w:rFonts w:hint="eastAsia" w:ascii="仿宋_GB2312" w:hAnsi="仿宋_GB2312" w:eastAsia="仿宋_GB2312" w:cs="仿宋_GB2312"/>
          <w:color w:val="000000"/>
          <w:spacing w:val="-11"/>
          <w:szCs w:val="32"/>
        </w:rPr>
      </w:pPr>
      <w:r>
        <w:rPr>
          <w:rFonts w:hint="eastAsia" w:ascii="仿宋_GB2312" w:hAnsi="仿宋_GB2312" w:eastAsia="仿宋_GB2312" w:cs="仿宋_GB2312"/>
          <w:color w:val="000000"/>
          <w:spacing w:val="-11"/>
          <w:szCs w:val="32"/>
        </w:rPr>
        <w:t>该地块位于绿色大道与化工三路交叉处（详见拟征收范围图）。</w:t>
      </w:r>
    </w:p>
    <w:p w14:paraId="6231894D">
      <w:pPr>
        <w:snapToGrid w:val="0"/>
        <w:spacing w:line="579" w:lineRule="exact"/>
        <w:ind w:firstLine="640" w:firstLineChars="200"/>
        <w:rPr>
          <w:rFonts w:hint="eastAsia" w:ascii="楷体_GB2312" w:hAnsi="楷体" w:eastAsia="楷体_GB2312" w:cs="楷体"/>
          <w:color w:val="000000"/>
          <w:szCs w:val="32"/>
        </w:rPr>
      </w:pPr>
      <w:r>
        <w:rPr>
          <w:rFonts w:hint="eastAsia" w:ascii="楷体_GB2312" w:hAnsi="楷体" w:eastAsia="楷体_GB2312" w:cs="楷体"/>
          <w:color w:val="000000"/>
          <w:szCs w:val="32"/>
        </w:rPr>
        <w:t>（四）调查概况</w:t>
      </w:r>
    </w:p>
    <w:p w14:paraId="2E9FCA99">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项目用地面积约48000平方米（折合约72亩，最终以实测为准）规划性质为建设用地，征收总户数</w:t>
      </w:r>
      <w:r>
        <w:rPr>
          <w:rFonts w:hint="eastAsia" w:ascii="仿宋" w:hAnsi="仿宋" w:eastAsia="仿宋" w:cs="仿宋_GB2312"/>
          <w:color w:val="000000"/>
          <w:szCs w:val="32"/>
        </w:rPr>
        <w:t>1</w:t>
      </w:r>
      <w:r>
        <w:rPr>
          <w:rFonts w:hint="eastAsia" w:ascii="仿宋_GB2312" w:hAnsi="仿宋_GB2312" w:eastAsia="仿宋_GB2312" w:cs="仿宋_GB2312"/>
          <w:color w:val="000000"/>
          <w:szCs w:val="32"/>
        </w:rPr>
        <w:t>户。</w:t>
      </w:r>
    </w:p>
    <w:p w14:paraId="7C8644BE">
      <w:pPr>
        <w:snapToGrid w:val="0"/>
        <w:spacing w:line="579" w:lineRule="exact"/>
        <w:ind w:firstLine="640" w:firstLineChars="200"/>
        <w:rPr>
          <w:rFonts w:hint="eastAsia" w:ascii="楷体_GB2312" w:hAnsi="楷体" w:eastAsia="楷体_GB2312" w:cs="楷体"/>
          <w:color w:val="000000"/>
          <w:szCs w:val="32"/>
        </w:rPr>
      </w:pPr>
      <w:r>
        <w:rPr>
          <w:rFonts w:hint="eastAsia" w:ascii="楷体_GB2312" w:hAnsi="楷体" w:eastAsia="楷体_GB2312" w:cs="楷体"/>
          <w:color w:val="000000"/>
          <w:szCs w:val="32"/>
        </w:rPr>
        <w:t>（五）房屋征收部门</w:t>
      </w:r>
    </w:p>
    <w:p w14:paraId="655A3E45">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武汉市青山区住房和城市更新局。</w:t>
      </w:r>
    </w:p>
    <w:p w14:paraId="0BA14004">
      <w:pPr>
        <w:snapToGrid w:val="0"/>
        <w:spacing w:line="579" w:lineRule="exact"/>
        <w:ind w:firstLine="640" w:firstLineChars="200"/>
        <w:rPr>
          <w:rFonts w:hint="eastAsia" w:ascii="楷体_GB2312" w:hAnsi="楷体" w:eastAsia="楷体_GB2312" w:cs="楷体"/>
          <w:color w:val="000000"/>
          <w:szCs w:val="32"/>
        </w:rPr>
      </w:pPr>
      <w:r>
        <w:rPr>
          <w:rFonts w:hint="eastAsia" w:ascii="楷体_GB2312" w:hAnsi="楷体" w:eastAsia="楷体_GB2312" w:cs="楷体"/>
          <w:color w:val="000000"/>
          <w:szCs w:val="32"/>
        </w:rPr>
        <w:t>（六）房屋征收实施单位</w:t>
      </w:r>
    </w:p>
    <w:p w14:paraId="2242A52C">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武汉市青山区住房和城市更新局。</w:t>
      </w:r>
    </w:p>
    <w:p w14:paraId="2C56A312">
      <w:pPr>
        <w:snapToGrid w:val="0"/>
        <w:spacing w:line="579" w:lineRule="exact"/>
        <w:ind w:firstLine="640" w:firstLineChars="200"/>
        <w:rPr>
          <w:rFonts w:hint="eastAsia" w:ascii="楷体_GB2312" w:hAnsi="楷体" w:eastAsia="楷体_GB2312" w:cs="楷体"/>
          <w:color w:val="000000"/>
          <w:szCs w:val="32"/>
        </w:rPr>
      </w:pPr>
      <w:r>
        <w:rPr>
          <w:rFonts w:hint="eastAsia" w:ascii="楷体_GB2312" w:hAnsi="楷体" w:eastAsia="楷体_GB2312" w:cs="楷体"/>
          <w:color w:val="000000"/>
          <w:szCs w:val="32"/>
        </w:rPr>
        <w:t>（七）评估时点</w:t>
      </w:r>
    </w:p>
    <w:p w14:paraId="09A546FD">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评估时点为房屋征收决定公告之日。</w:t>
      </w:r>
    </w:p>
    <w:p w14:paraId="7DD515FE">
      <w:pPr>
        <w:snapToGrid w:val="0"/>
        <w:spacing w:line="579" w:lineRule="exact"/>
        <w:ind w:firstLine="640" w:firstLineChars="200"/>
        <w:rPr>
          <w:rFonts w:hint="eastAsia" w:ascii="楷体_GB2312" w:hAnsi="楷体" w:eastAsia="楷体_GB2312" w:cs="楷体"/>
          <w:color w:val="000000"/>
          <w:szCs w:val="32"/>
        </w:rPr>
      </w:pPr>
      <w:r>
        <w:rPr>
          <w:rFonts w:hint="eastAsia" w:ascii="楷体_GB2312" w:hAnsi="楷体" w:eastAsia="楷体_GB2312" w:cs="楷体"/>
          <w:color w:val="000000"/>
          <w:szCs w:val="32"/>
        </w:rPr>
        <w:t xml:space="preserve">（八）征收签约期限  </w:t>
      </w:r>
    </w:p>
    <w:p w14:paraId="14F79EBC">
      <w:pPr>
        <w:snapToGrid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该项目征收签约期限为3个月，自被征收评估结果公布之日起计算。</w:t>
      </w:r>
    </w:p>
    <w:p w14:paraId="0974345D">
      <w:pPr>
        <w:snapToGrid w:val="0"/>
        <w:spacing w:line="579" w:lineRule="exact"/>
        <w:ind w:firstLine="640" w:firstLineChars="200"/>
        <w:rPr>
          <w:rFonts w:hint="eastAsia" w:ascii="黑体" w:hAnsi="宋体" w:eastAsia="黑体"/>
          <w:color w:val="000000"/>
        </w:rPr>
      </w:pPr>
      <w:r>
        <w:rPr>
          <w:rFonts w:hint="eastAsia" w:ascii="黑体" w:hAnsi="宋体" w:eastAsia="黑体"/>
          <w:color w:val="000000"/>
        </w:rPr>
        <w:t>三、补偿方式</w:t>
      </w:r>
    </w:p>
    <w:p w14:paraId="0DAB9B1E">
      <w:pPr>
        <w:snapToGrid w:val="0"/>
        <w:spacing w:line="579" w:lineRule="exact"/>
        <w:ind w:firstLine="640" w:firstLineChars="200"/>
        <w:contextualSpacing/>
        <w:rPr>
          <w:rFonts w:hint="eastAsia" w:ascii="仿宋_GB2312" w:hAnsi="仿宋_GB2312" w:eastAsia="仿宋_GB2312" w:cs="仿宋_GB2312"/>
          <w:color w:val="000000"/>
        </w:rPr>
      </w:pPr>
      <w:r>
        <w:rPr>
          <w:rFonts w:hint="eastAsia" w:ascii="仿宋_GB2312" w:hAnsi="仿宋_GB2312" w:eastAsia="仿宋_GB2312" w:cs="仿宋_GB2312"/>
          <w:color w:val="000000"/>
        </w:rPr>
        <w:t>本项目无建筑物，按货币补偿方式补偿土地价值。</w:t>
      </w:r>
    </w:p>
    <w:p w14:paraId="4AC3ECCC">
      <w:pPr>
        <w:snapToGrid w:val="0"/>
        <w:spacing w:line="579"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被征收土地价值由依法选定的房地产价格评估机构按照评估办法评估，评估时点为房屋征收决定公告之日。</w:t>
      </w:r>
    </w:p>
    <w:p w14:paraId="650BB986">
      <w:pPr>
        <w:spacing w:line="579" w:lineRule="exact"/>
        <w:ind w:firstLine="640" w:firstLineChars="200"/>
        <w:rPr>
          <w:rFonts w:hint="eastAsia" w:ascii="黑体" w:hAnsi="黑体" w:eastAsia="黑体" w:cs="黑体"/>
          <w:color w:val="000000"/>
        </w:rPr>
      </w:pPr>
      <w:r>
        <w:rPr>
          <w:rFonts w:hint="eastAsia" w:ascii="黑体" w:hAnsi="黑体" w:eastAsia="黑体" w:cs="黑体"/>
          <w:color w:val="000000"/>
        </w:rPr>
        <w:t>四、奖励</w:t>
      </w:r>
    </w:p>
    <w:p w14:paraId="61E9A88E">
      <w:pPr>
        <w:spacing w:line="579" w:lineRule="exact"/>
        <w:ind w:firstLine="732"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pacing w:val="23"/>
          <w:szCs w:val="32"/>
        </w:rPr>
        <w:t>在签约期限内签订补偿协议的，给予签约奖励人民币2000元/户。</w:t>
      </w:r>
    </w:p>
    <w:p w14:paraId="30A8590C">
      <w:pPr>
        <w:spacing w:line="579" w:lineRule="exact"/>
        <w:ind w:firstLine="640" w:firstLineChars="200"/>
        <w:rPr>
          <w:rFonts w:hint="eastAsia" w:ascii="黑体" w:hAnsi="黑体" w:eastAsia="黑体" w:cs="黑体"/>
          <w:color w:val="000000"/>
        </w:rPr>
      </w:pPr>
      <w:r>
        <w:rPr>
          <w:rFonts w:hint="eastAsia" w:ascii="黑体" w:hAnsi="黑体" w:eastAsia="黑体" w:cs="黑体"/>
          <w:color w:val="000000"/>
        </w:rPr>
        <w:t>五、其他事项</w:t>
      </w:r>
    </w:p>
    <w:p w14:paraId="03AEACBD">
      <w:pPr>
        <w:kinsoku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（一）本方案未尽事宜按照国家及武汉市有关政策执行。</w:t>
      </w:r>
    </w:p>
    <w:p w14:paraId="7672EDB7">
      <w:pPr>
        <w:kinsoku w:val="0"/>
        <w:spacing w:line="579"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w:t>
      </w:r>
      <w:r>
        <w:rPr>
          <w:rFonts w:hint="eastAsia" w:ascii="仿宋_GB2312" w:hAnsi="仿宋_GB2312" w:eastAsia="仿宋_GB2312" w:cs="仿宋_GB2312"/>
          <w:color w:val="000000"/>
          <w:spacing w:val="-11"/>
          <w:szCs w:val="32"/>
        </w:rPr>
        <w:t>本方案由武汉市青山区住房和城市更新局负责解释</w:t>
      </w:r>
      <w:r>
        <w:rPr>
          <w:rFonts w:hint="eastAsia" w:ascii="仿宋_GB2312" w:hAnsi="仿宋_GB2312" w:eastAsia="仿宋_GB2312" w:cs="仿宋_GB2312"/>
          <w:color w:val="000000"/>
          <w:szCs w:val="32"/>
        </w:rPr>
        <w:t>。</w:t>
      </w:r>
    </w:p>
    <w:p w14:paraId="58AA7820">
      <w:pPr>
        <w:spacing w:line="579" w:lineRule="exact"/>
        <w:rPr>
          <w:color w:val="000000"/>
        </w:rPr>
      </w:pPr>
    </w:p>
    <w:p w14:paraId="3BC00682">
      <w:pPr>
        <w:spacing w:line="579" w:lineRule="exact"/>
        <w:rPr>
          <w:color w:val="000000"/>
        </w:rPr>
      </w:pPr>
    </w:p>
    <w:p w14:paraId="1F32B8F5">
      <w:pPr>
        <w:spacing w:line="579" w:lineRule="exact"/>
        <w:ind w:firstLine="5440" w:firstLineChars="1700"/>
        <w:rPr>
          <w:rFonts w:hint="eastAsia" w:ascii="仿宋_GB2312" w:hAnsi="仿宋" w:eastAsia="仿宋_GB2312"/>
          <w:color w:val="000000"/>
          <w:szCs w:val="32"/>
        </w:rPr>
      </w:pPr>
      <w:r>
        <w:rPr>
          <w:rFonts w:hint="eastAsia" w:ascii="仿宋_GB2312" w:hAnsi="仿宋" w:eastAsia="仿宋_GB2312"/>
          <w:color w:val="000000"/>
          <w:szCs w:val="32"/>
        </w:rPr>
        <w:t>青山区人民政府</w:t>
      </w:r>
    </w:p>
    <w:p w14:paraId="6A9A9069">
      <w:pPr>
        <w:snapToGrid w:val="0"/>
        <w:spacing w:line="579" w:lineRule="exact"/>
        <w:jc w:val="center"/>
        <w:rPr>
          <w:rFonts w:hint="eastAsia" w:ascii="仿宋_GB2312" w:hAnsi="仿宋_GB2312" w:eastAsia="仿宋_GB2312"/>
          <w:color w:val="000000"/>
          <w:sz w:val="40"/>
          <w:szCs w:val="40"/>
        </w:rPr>
      </w:pPr>
      <w:r>
        <w:rPr>
          <w:rFonts w:hint="eastAsia" w:ascii="仿宋_GB2312" w:hAnsi="仿宋" w:eastAsia="仿宋_GB2312"/>
          <w:color w:val="000000"/>
          <w:szCs w:val="32"/>
        </w:rPr>
        <w:t xml:space="preserve">                           </w:t>
      </w:r>
      <w:r>
        <w:rPr>
          <w:rFonts w:ascii="仿宋_GB2312" w:hAnsi="仿宋" w:eastAsia="仿宋_GB2312"/>
          <w:color w:val="000000"/>
          <w:szCs w:val="32"/>
        </w:rPr>
        <w:t>20</w:t>
      </w:r>
      <w:r>
        <w:rPr>
          <w:rFonts w:hint="eastAsia" w:ascii="仿宋_GB2312" w:hAnsi="仿宋" w:eastAsia="仿宋_GB2312"/>
          <w:color w:val="000000"/>
          <w:szCs w:val="32"/>
        </w:rPr>
        <w:t>25</w:t>
      </w:r>
      <w:r>
        <w:rPr>
          <w:rFonts w:ascii="仿宋_GB2312" w:hAnsi="仿宋" w:eastAsia="仿宋_GB2312"/>
          <w:color w:val="000000"/>
          <w:szCs w:val="32"/>
        </w:rPr>
        <w:t>年</w:t>
      </w:r>
      <w:r>
        <w:rPr>
          <w:rFonts w:hint="eastAsia" w:ascii="仿宋_GB2312" w:hAnsi="仿宋" w:eastAsia="仿宋_GB2312"/>
          <w:color w:val="000000"/>
          <w:szCs w:val="32"/>
        </w:rPr>
        <w:t>12</w:t>
      </w:r>
      <w:r>
        <w:rPr>
          <w:rFonts w:ascii="仿宋_GB2312" w:hAnsi="仿宋" w:eastAsia="仿宋_GB2312"/>
          <w:color w:val="000000"/>
          <w:szCs w:val="32"/>
        </w:rPr>
        <w:t>月</w:t>
      </w:r>
      <w:r>
        <w:rPr>
          <w:rFonts w:hint="eastAsia" w:ascii="宋体" w:hAnsi="宋体" w:eastAsia="宋体" w:cs="宋体"/>
          <w:color w:val="000000"/>
          <w:szCs w:val="32"/>
        </w:rPr>
        <w:t>24</w:t>
      </w:r>
      <w:r>
        <w:rPr>
          <w:rFonts w:ascii="仿宋_GB2312" w:hAnsi="仿宋" w:eastAsia="仿宋_GB2312"/>
          <w:color w:val="000000"/>
          <w:szCs w:val="32"/>
        </w:rPr>
        <w:t>日</w:t>
      </w:r>
    </w:p>
    <w:p w14:paraId="6EED0350">
      <w:pPr>
        <w:pStyle w:val="2"/>
        <w:spacing w:line="660" w:lineRule="exact"/>
        <w:rPr>
          <w:rFonts w:hint="eastAsia"/>
        </w:rPr>
      </w:pPr>
    </w:p>
    <w:p w14:paraId="4DFD82D6">
      <w:pPr>
        <w:pStyle w:val="2"/>
        <w:spacing w:line="660" w:lineRule="exact"/>
        <w:rPr>
          <w:rFonts w:hint="eastAsia"/>
        </w:rPr>
      </w:pPr>
    </w:p>
    <w:p w14:paraId="6071AB81">
      <w:pPr>
        <w:pStyle w:val="2"/>
        <w:spacing w:line="660" w:lineRule="exact"/>
        <w:rPr>
          <w:rFonts w:hint="eastAsia"/>
        </w:rPr>
      </w:pPr>
    </w:p>
    <w:p w14:paraId="320DF8C3">
      <w:pPr>
        <w:pStyle w:val="2"/>
        <w:spacing w:line="660" w:lineRule="exact"/>
        <w:rPr>
          <w:rFonts w:hint="eastAsia"/>
        </w:rPr>
      </w:pPr>
    </w:p>
    <w:p w14:paraId="3007B395">
      <w:pPr>
        <w:pStyle w:val="2"/>
        <w:spacing w:line="660" w:lineRule="exact"/>
        <w:rPr>
          <w:rFonts w:hint="eastAsia"/>
        </w:rPr>
      </w:pPr>
    </w:p>
    <w:tbl>
      <w:tblPr>
        <w:tblStyle w:val="14"/>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14:paraId="5B6C73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891" w:type="dxa"/>
            <w:noWrap w:val="0"/>
            <w:vAlign w:val="center"/>
          </w:tcPr>
          <w:p w14:paraId="2334875D">
            <w:pPr>
              <w:jc w:val="center"/>
              <w:rPr>
                <w:rFonts w:hint="eastAsia" w:ascii="仿宋_GB2312" w:eastAsia="仿宋_GB2312"/>
                <w:spacing w:val="8"/>
                <w:sz w:val="28"/>
                <w:szCs w:val="28"/>
              </w:rPr>
            </w:pPr>
            <w:r>
              <w:rPr>
                <w:rFonts w:hint="eastAsia" w:ascii="仿宋_GB2312" w:eastAsia="仿宋_GB2312"/>
                <w:spacing w:val="8"/>
                <w:sz w:val="28"/>
                <w:szCs w:val="28"/>
              </w:rPr>
              <w:t>武汉市青山区人民政府办公室            2025年12月24日印发</w:t>
            </w:r>
          </w:p>
        </w:tc>
      </w:tr>
    </w:tbl>
    <w:p w14:paraId="70EA325D">
      <w:pPr>
        <w:adjustRightInd w:val="0"/>
        <w:snapToGrid w:val="0"/>
        <w:spacing w:line="20" w:lineRule="exact"/>
        <w:rPr>
          <w:rFonts w:hint="eastAsia" w:ascii="仿宋_GB2312" w:eastAsia="仿宋_GB2312"/>
        </w:rPr>
      </w:pPr>
      <w:r>
        <w:rPr>
          <w:rFonts w:hint="eastAsia" w:ascii="仿宋_GB2312" w:eastAsia="仿宋_GB2312"/>
          <w:lang/>
        </w:rPr>
        <mc:AlternateContent>
          <mc:Choice Requires="wps">
            <w:drawing>
              <wp:anchor distT="0" distB="0" distL="114300" distR="114300" simplePos="0" relativeHeight="251659264" behindDoc="0" locked="0" layoutInCell="1" allowOverlap="1">
                <wp:simplePos x="0" y="0"/>
                <wp:positionH relativeFrom="column">
                  <wp:posOffset>4503420</wp:posOffset>
                </wp:positionH>
                <wp:positionV relativeFrom="paragraph">
                  <wp:posOffset>238125</wp:posOffset>
                </wp:positionV>
                <wp:extent cx="1191260" cy="969645"/>
                <wp:effectExtent l="8255" t="7620" r="19685" b="13335"/>
                <wp:wrapNone/>
                <wp:docPr id="1" name="矩形 2"/>
                <wp:cNvGraphicFramePr/>
                <a:graphic xmlns:a="http://schemas.openxmlformats.org/drawingml/2006/main">
                  <a:graphicData uri="http://schemas.microsoft.com/office/word/2010/wordprocessingShape">
                    <wps:wsp>
                      <wps:cNvSpPr/>
                      <wps:spPr>
                        <a:xfrm>
                          <a:off x="0" y="0"/>
                          <a:ext cx="1191260" cy="96964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bodyPr wrap="square" upright="1"/>
                    </wps:wsp>
                  </a:graphicData>
                </a:graphic>
              </wp:anchor>
            </w:drawing>
          </mc:Choice>
          <mc:Fallback>
            <w:pict>
              <v:rect id="矩形 2" o:spid="_x0000_s1026" o:spt="1" style="position:absolute;left:0pt;margin-left:354.6pt;margin-top:18.75pt;height:76.35pt;width:93.8pt;z-index:251659264;mso-width-relative:page;mso-height-relative:page;" fillcolor="#FFFFFF" filled="t" stroked="t" coordsize="21600,21600" o:gfxdata="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86JA72QAAAAoBAAAPAAAAAAAAAAEAIAAAACIAAABkcnMv&#10;ZG93bnJldi54bWxQSwECFAAUAAAACACHTuJAkwNYZzsCAAC0BAAADgAAAAAAAAABACAAAAAoAQAA&#10;ZHJzL2Uyb0RvYy54bWxQSwUGAAAAAAYABgBZAQAA1QUAAAAA&#10;">
                <v:fill type="gradient" on="t" color2="#FFFFFF" angle="90" focus="100%" focussize="0f,0f" focusposition="0f,0f">
                  <o:fill type="gradientUnscaled" v:ext="backwardCompatible"/>
                </v:fill>
                <v:stroke weight="1.25pt" color="#FFFFFF" joinstyle="miter"/>
                <v:imagedata o:title=""/>
                <o:lock v:ext="edit" aspectratio="f"/>
              </v:rect>
            </w:pict>
          </mc:Fallback>
        </mc:AlternateContent>
      </w:r>
    </w:p>
    <w:sectPr>
      <w:footerReference r:id="rId3" w:type="default"/>
      <w:footerReference r:id="rId4" w:type="even"/>
      <w:pgSz w:w="11906" w:h="16838"/>
      <w:pgMar w:top="2211" w:right="1531" w:bottom="1871" w:left="1531" w:header="720" w:footer="720" w:gutter="0"/>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宋体-GB2312">
    <w:altName w:val="微软雅黑"/>
    <w:panose1 w:val="02000500000000000000"/>
    <w:charset w:val="86"/>
    <w:family w:val="roman"/>
    <w:pitch w:val="default"/>
    <w:sig w:usb0="00000000" w:usb1="08476CF8" w:usb2="00000010" w:usb3="00000000" w:csb0="0004000F" w:csb1="00000000"/>
  </w:font>
  <w:font w:name="Courier New">
    <w:panose1 w:val="02070309020205020404"/>
    <w:charset w:val="00"/>
    <w:family w:val="modern"/>
    <w:pitch w:val="default"/>
    <w:sig w:usb0="E0002AFF" w:usb1="C0007843" w:usb2="00000009" w:usb3="00000000" w:csb0="400001FF" w:csb1="FFFF0000"/>
  </w:font>
  <w:font w:name="Liberation Sans">
    <w:altName w:val="Meiryo UI"/>
    <w:panose1 w:val="020B0604020202020204"/>
    <w:charset w:val="00"/>
    <w:family w:val="swiss"/>
    <w:pitch w:val="default"/>
    <w:sig w:usb0="A00002AF" w:usb1="500078FB" w:usb2="00000000" w:usb3="00000000" w:csb0="6000009F" w:csb1="DFD70000"/>
  </w:font>
  <w:font w:name="Noto Sans CJK SC Regular">
    <w:altName w:val="宋体"/>
    <w:panose1 w:val="020B0500000000000000"/>
    <w:charset w:val="86"/>
    <w:family w:val="auto"/>
    <w:pitch w:val="default"/>
    <w:sig w:usb0="30000003" w:usb1="2BDF3C10" w:usb2="00000016" w:usb3="00000000" w:csb0="602E0107"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0698">
    <w:pPr>
      <w:pStyle w:val="8"/>
      <w:wordWrap w:val="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99603">
    <w:pPr>
      <w:pStyle w:val="8"/>
      <w:ind w:firstLine="280" w:firstLineChars="100"/>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60"/>
  <w:drawingGridVerticalSpacing w:val="439"/>
  <w:displayHorizontalDrawingGridEvery w:val="2"/>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MWE0OWMxZDA2NWEyZjNjNjBmZmM3OGZkM2M1ZjEifQ=="/>
  </w:docVars>
  <w:rsids>
    <w:rsidRoot w:val="EDFC5F96"/>
    <w:rsid w:val="00051340"/>
    <w:rsid w:val="0009514F"/>
    <w:rsid w:val="00244A21"/>
    <w:rsid w:val="002B72DA"/>
    <w:rsid w:val="0035684C"/>
    <w:rsid w:val="003E3314"/>
    <w:rsid w:val="004F33BE"/>
    <w:rsid w:val="00536235"/>
    <w:rsid w:val="005E7C5D"/>
    <w:rsid w:val="00603906"/>
    <w:rsid w:val="006A2E69"/>
    <w:rsid w:val="007920AD"/>
    <w:rsid w:val="008A1CD0"/>
    <w:rsid w:val="00A747E8"/>
    <w:rsid w:val="00AA580A"/>
    <w:rsid w:val="00BD4A97"/>
    <w:rsid w:val="00C82DFB"/>
    <w:rsid w:val="00CD06EE"/>
    <w:rsid w:val="00CE451B"/>
    <w:rsid w:val="00D7684F"/>
    <w:rsid w:val="00E60D1E"/>
    <w:rsid w:val="04083D46"/>
    <w:rsid w:val="076D8BBE"/>
    <w:rsid w:val="079FADDC"/>
    <w:rsid w:val="0BF7578A"/>
    <w:rsid w:val="0F7B471D"/>
    <w:rsid w:val="11FE884A"/>
    <w:rsid w:val="13EF4B59"/>
    <w:rsid w:val="168D7D58"/>
    <w:rsid w:val="17CF1621"/>
    <w:rsid w:val="18EB597E"/>
    <w:rsid w:val="1AFC5E75"/>
    <w:rsid w:val="1BFF0B00"/>
    <w:rsid w:val="1E0D5CDA"/>
    <w:rsid w:val="1E7DC0A4"/>
    <w:rsid w:val="1F2E894C"/>
    <w:rsid w:val="1FAECC20"/>
    <w:rsid w:val="1FFF866C"/>
    <w:rsid w:val="27315C66"/>
    <w:rsid w:val="278BEDAC"/>
    <w:rsid w:val="27A12394"/>
    <w:rsid w:val="2AAA4996"/>
    <w:rsid w:val="2B228FAC"/>
    <w:rsid w:val="2B3FBB88"/>
    <w:rsid w:val="2BFCF0D4"/>
    <w:rsid w:val="2CF79B9E"/>
    <w:rsid w:val="2EE75B04"/>
    <w:rsid w:val="2EE8B792"/>
    <w:rsid w:val="2FD40A88"/>
    <w:rsid w:val="2FF702F5"/>
    <w:rsid w:val="30636C6A"/>
    <w:rsid w:val="327FA323"/>
    <w:rsid w:val="334F0CBC"/>
    <w:rsid w:val="33EE1450"/>
    <w:rsid w:val="33F6725F"/>
    <w:rsid w:val="33F74AAE"/>
    <w:rsid w:val="36FF7025"/>
    <w:rsid w:val="37F4AED5"/>
    <w:rsid w:val="37FF865B"/>
    <w:rsid w:val="3BF57E46"/>
    <w:rsid w:val="3D7F7563"/>
    <w:rsid w:val="3DDE0886"/>
    <w:rsid w:val="3EEBAE46"/>
    <w:rsid w:val="3F3F350F"/>
    <w:rsid w:val="3F77C0D7"/>
    <w:rsid w:val="3F7AF280"/>
    <w:rsid w:val="3F7E1001"/>
    <w:rsid w:val="3FA75CCF"/>
    <w:rsid w:val="3FBFC9EC"/>
    <w:rsid w:val="3FF5E4FE"/>
    <w:rsid w:val="43B236C1"/>
    <w:rsid w:val="43F7E7FD"/>
    <w:rsid w:val="43FF4F0D"/>
    <w:rsid w:val="476D674B"/>
    <w:rsid w:val="48811047"/>
    <w:rsid w:val="49C6102E"/>
    <w:rsid w:val="4BCFCB65"/>
    <w:rsid w:val="4BFD9FB2"/>
    <w:rsid w:val="4E1CB20F"/>
    <w:rsid w:val="4E698933"/>
    <w:rsid w:val="4EBEC38A"/>
    <w:rsid w:val="4F5CA519"/>
    <w:rsid w:val="4FEFA7FE"/>
    <w:rsid w:val="4FF632C8"/>
    <w:rsid w:val="531C1D69"/>
    <w:rsid w:val="53CFBC47"/>
    <w:rsid w:val="53FD8AB1"/>
    <w:rsid w:val="53FFA300"/>
    <w:rsid w:val="53FFD668"/>
    <w:rsid w:val="577F400D"/>
    <w:rsid w:val="57DFA468"/>
    <w:rsid w:val="57EF79ED"/>
    <w:rsid w:val="58BFABE8"/>
    <w:rsid w:val="5C9260C6"/>
    <w:rsid w:val="5D5F4B48"/>
    <w:rsid w:val="5DFE3D14"/>
    <w:rsid w:val="5E0D7024"/>
    <w:rsid w:val="5EBFAED7"/>
    <w:rsid w:val="5ECDACAF"/>
    <w:rsid w:val="5F634D8B"/>
    <w:rsid w:val="5FBFB435"/>
    <w:rsid w:val="5FCF70BD"/>
    <w:rsid w:val="5FEF2CDB"/>
    <w:rsid w:val="5FF7EE04"/>
    <w:rsid w:val="5FFB8981"/>
    <w:rsid w:val="5FFC1D08"/>
    <w:rsid w:val="5FFEDD40"/>
    <w:rsid w:val="5FFF8653"/>
    <w:rsid w:val="5FFFF194"/>
    <w:rsid w:val="619B4FD5"/>
    <w:rsid w:val="62B772D0"/>
    <w:rsid w:val="63BD7295"/>
    <w:rsid w:val="63FB4160"/>
    <w:rsid w:val="65FF4C77"/>
    <w:rsid w:val="65FFCFAD"/>
    <w:rsid w:val="66FF70D8"/>
    <w:rsid w:val="677EFC24"/>
    <w:rsid w:val="67DFA975"/>
    <w:rsid w:val="67FBC330"/>
    <w:rsid w:val="67FF5F68"/>
    <w:rsid w:val="694E2FB5"/>
    <w:rsid w:val="6BA3358E"/>
    <w:rsid w:val="6BB6C496"/>
    <w:rsid w:val="6BFF833D"/>
    <w:rsid w:val="6CAF70B1"/>
    <w:rsid w:val="6CE74B04"/>
    <w:rsid w:val="6D6FC33B"/>
    <w:rsid w:val="6DFF242B"/>
    <w:rsid w:val="6E61D929"/>
    <w:rsid w:val="6E7F37A4"/>
    <w:rsid w:val="6EEBF095"/>
    <w:rsid w:val="6F6F3A63"/>
    <w:rsid w:val="6F7B6FF4"/>
    <w:rsid w:val="6FC76DAF"/>
    <w:rsid w:val="6FDB7589"/>
    <w:rsid w:val="6FDF1F92"/>
    <w:rsid w:val="71B6295A"/>
    <w:rsid w:val="73B9E354"/>
    <w:rsid w:val="74F7C64B"/>
    <w:rsid w:val="75AAF669"/>
    <w:rsid w:val="76BDFD25"/>
    <w:rsid w:val="76EFE03E"/>
    <w:rsid w:val="7733A85E"/>
    <w:rsid w:val="7737702C"/>
    <w:rsid w:val="775CFF4D"/>
    <w:rsid w:val="77653B12"/>
    <w:rsid w:val="776F6620"/>
    <w:rsid w:val="77AF4486"/>
    <w:rsid w:val="77E91AB8"/>
    <w:rsid w:val="77FD2539"/>
    <w:rsid w:val="77FD9C7F"/>
    <w:rsid w:val="77FDE370"/>
    <w:rsid w:val="797E20E4"/>
    <w:rsid w:val="79F90577"/>
    <w:rsid w:val="7ACFA782"/>
    <w:rsid w:val="7ADE711C"/>
    <w:rsid w:val="7AEB22B8"/>
    <w:rsid w:val="7B5F7B02"/>
    <w:rsid w:val="7B7CD05C"/>
    <w:rsid w:val="7BAF676F"/>
    <w:rsid w:val="7BF6A7CA"/>
    <w:rsid w:val="7C3C5C1E"/>
    <w:rsid w:val="7CDA50CD"/>
    <w:rsid w:val="7CEB6EAD"/>
    <w:rsid w:val="7D6E23AF"/>
    <w:rsid w:val="7DCFD53C"/>
    <w:rsid w:val="7DDE0599"/>
    <w:rsid w:val="7DF9346D"/>
    <w:rsid w:val="7DFC8A7D"/>
    <w:rsid w:val="7DFF256B"/>
    <w:rsid w:val="7E36BA46"/>
    <w:rsid w:val="7E6ED227"/>
    <w:rsid w:val="7E708992"/>
    <w:rsid w:val="7E7D307B"/>
    <w:rsid w:val="7E9F70CE"/>
    <w:rsid w:val="7ED7628B"/>
    <w:rsid w:val="7EE90AD9"/>
    <w:rsid w:val="7EEBC8E0"/>
    <w:rsid w:val="7EFB6F00"/>
    <w:rsid w:val="7EFCADB9"/>
    <w:rsid w:val="7EFF2958"/>
    <w:rsid w:val="7F3764DA"/>
    <w:rsid w:val="7F3E6D25"/>
    <w:rsid w:val="7F3FAABB"/>
    <w:rsid w:val="7F4862A9"/>
    <w:rsid w:val="7F5078D6"/>
    <w:rsid w:val="7F5749D0"/>
    <w:rsid w:val="7F5D3EB8"/>
    <w:rsid w:val="7F6E52E6"/>
    <w:rsid w:val="7F6F63D5"/>
    <w:rsid w:val="7F6FC40B"/>
    <w:rsid w:val="7F7A3E5A"/>
    <w:rsid w:val="7F7BB763"/>
    <w:rsid w:val="7F9328D6"/>
    <w:rsid w:val="7F990189"/>
    <w:rsid w:val="7F9E34EB"/>
    <w:rsid w:val="7FAFED00"/>
    <w:rsid w:val="7FB77352"/>
    <w:rsid w:val="7FD7A39D"/>
    <w:rsid w:val="7FD99EC0"/>
    <w:rsid w:val="7FDF9CF4"/>
    <w:rsid w:val="7FDFACD9"/>
    <w:rsid w:val="7FE69DE0"/>
    <w:rsid w:val="7FED1B41"/>
    <w:rsid w:val="7FF572F8"/>
    <w:rsid w:val="7FF60246"/>
    <w:rsid w:val="7FFA73DB"/>
    <w:rsid w:val="7FFB6078"/>
    <w:rsid w:val="7FFD0442"/>
    <w:rsid w:val="7FFDF7F6"/>
    <w:rsid w:val="7FFEA86F"/>
    <w:rsid w:val="7FFF2795"/>
    <w:rsid w:val="7FFF485A"/>
    <w:rsid w:val="877FA6B2"/>
    <w:rsid w:val="8FBE5CC2"/>
    <w:rsid w:val="8FD30AE0"/>
    <w:rsid w:val="95FDAFD2"/>
    <w:rsid w:val="96B72387"/>
    <w:rsid w:val="96F3C880"/>
    <w:rsid w:val="9AA7BC2C"/>
    <w:rsid w:val="9E7D5B26"/>
    <w:rsid w:val="9EF590D1"/>
    <w:rsid w:val="9EFF438E"/>
    <w:rsid w:val="9F7B7553"/>
    <w:rsid w:val="9FD7F6B1"/>
    <w:rsid w:val="A78F307F"/>
    <w:rsid w:val="A7BFC24C"/>
    <w:rsid w:val="ADD7AC3A"/>
    <w:rsid w:val="AEBDDB6C"/>
    <w:rsid w:val="AED72042"/>
    <w:rsid w:val="AFDBF5B0"/>
    <w:rsid w:val="B3DFE324"/>
    <w:rsid w:val="B7C7BBCA"/>
    <w:rsid w:val="B7DFCF36"/>
    <w:rsid w:val="B7FF32AC"/>
    <w:rsid w:val="BABF9D12"/>
    <w:rsid w:val="BADFFAE6"/>
    <w:rsid w:val="BAEF6DE7"/>
    <w:rsid w:val="BBB44E3C"/>
    <w:rsid w:val="BBBD1FC8"/>
    <w:rsid w:val="BBBFB61E"/>
    <w:rsid w:val="BD7B0B8F"/>
    <w:rsid w:val="BD7FAE68"/>
    <w:rsid w:val="BD9FA4B9"/>
    <w:rsid w:val="BDDFB298"/>
    <w:rsid w:val="BE5B86AC"/>
    <w:rsid w:val="BEBDE243"/>
    <w:rsid w:val="BED5CD48"/>
    <w:rsid w:val="BEED9178"/>
    <w:rsid w:val="BEFF8B71"/>
    <w:rsid w:val="BF71FDF3"/>
    <w:rsid w:val="BFB4D9F0"/>
    <w:rsid w:val="BFEA9D1E"/>
    <w:rsid w:val="BFEC4C08"/>
    <w:rsid w:val="BFEFCA14"/>
    <w:rsid w:val="BFFD3034"/>
    <w:rsid w:val="BFFE709E"/>
    <w:rsid w:val="BFFFC3D9"/>
    <w:rsid w:val="C59DFCD5"/>
    <w:rsid w:val="C7FD4346"/>
    <w:rsid w:val="CB6D1BB5"/>
    <w:rsid w:val="CBF6487A"/>
    <w:rsid w:val="CF9E57A2"/>
    <w:rsid w:val="CFD79591"/>
    <w:rsid w:val="CFDF310C"/>
    <w:rsid w:val="CFFD1924"/>
    <w:rsid w:val="D33E4F15"/>
    <w:rsid w:val="D3EB3E32"/>
    <w:rsid w:val="D4BF9CD6"/>
    <w:rsid w:val="D51EB661"/>
    <w:rsid w:val="D7679155"/>
    <w:rsid w:val="D77745EF"/>
    <w:rsid w:val="D7AFEDB9"/>
    <w:rsid w:val="D7CCB146"/>
    <w:rsid w:val="DAFF3FE3"/>
    <w:rsid w:val="DB7EA084"/>
    <w:rsid w:val="DBBF70A2"/>
    <w:rsid w:val="DBDDB35E"/>
    <w:rsid w:val="DBDE62DC"/>
    <w:rsid w:val="DBF7DCC2"/>
    <w:rsid w:val="DCBB2934"/>
    <w:rsid w:val="DCCED55B"/>
    <w:rsid w:val="DDBE3927"/>
    <w:rsid w:val="DF7EDDCD"/>
    <w:rsid w:val="DFDAC322"/>
    <w:rsid w:val="DFDB89CF"/>
    <w:rsid w:val="DFE71A66"/>
    <w:rsid w:val="DFF517B7"/>
    <w:rsid w:val="DFFB932C"/>
    <w:rsid w:val="DFFFDD06"/>
    <w:rsid w:val="E37F98E7"/>
    <w:rsid w:val="E4ABF07C"/>
    <w:rsid w:val="E5D1553A"/>
    <w:rsid w:val="E6739132"/>
    <w:rsid w:val="E67F3F46"/>
    <w:rsid w:val="E7BD873E"/>
    <w:rsid w:val="E7F46E7D"/>
    <w:rsid w:val="E7FFAAE4"/>
    <w:rsid w:val="E9FD2820"/>
    <w:rsid w:val="EB4BFCF0"/>
    <w:rsid w:val="EBAF2DDE"/>
    <w:rsid w:val="EBB20EC5"/>
    <w:rsid w:val="EBB5A4DC"/>
    <w:rsid w:val="EBCB60B8"/>
    <w:rsid w:val="EBF31407"/>
    <w:rsid w:val="ECDC89BC"/>
    <w:rsid w:val="ECFE1560"/>
    <w:rsid w:val="EDFC5F96"/>
    <w:rsid w:val="EE1BA28C"/>
    <w:rsid w:val="EEA53B47"/>
    <w:rsid w:val="EEE70983"/>
    <w:rsid w:val="EEFB0C7C"/>
    <w:rsid w:val="EF0AEB57"/>
    <w:rsid w:val="EFABA76F"/>
    <w:rsid w:val="EFB74565"/>
    <w:rsid w:val="EFBF795D"/>
    <w:rsid w:val="EFCA9CF4"/>
    <w:rsid w:val="EFEE12FD"/>
    <w:rsid w:val="EFF98F73"/>
    <w:rsid w:val="EFFBF24A"/>
    <w:rsid w:val="F2BB9E0D"/>
    <w:rsid w:val="F3BB8523"/>
    <w:rsid w:val="F3C3B7ED"/>
    <w:rsid w:val="F3C7D954"/>
    <w:rsid w:val="F3DBA644"/>
    <w:rsid w:val="F3FB3E0A"/>
    <w:rsid w:val="F4FFC639"/>
    <w:rsid w:val="F55DE1D0"/>
    <w:rsid w:val="F5F3A6E9"/>
    <w:rsid w:val="F5FBDACD"/>
    <w:rsid w:val="F67FB0CE"/>
    <w:rsid w:val="F6BFDC34"/>
    <w:rsid w:val="F6DE99E7"/>
    <w:rsid w:val="F6FB6FD3"/>
    <w:rsid w:val="F6FFD3FB"/>
    <w:rsid w:val="F76BA1CC"/>
    <w:rsid w:val="F77128D1"/>
    <w:rsid w:val="F77D2A8B"/>
    <w:rsid w:val="F7D774EB"/>
    <w:rsid w:val="F7DD5819"/>
    <w:rsid w:val="F7EF0D43"/>
    <w:rsid w:val="F7F7F2AA"/>
    <w:rsid w:val="F93FE859"/>
    <w:rsid w:val="F97731D9"/>
    <w:rsid w:val="F9FF73EE"/>
    <w:rsid w:val="FA2E7988"/>
    <w:rsid w:val="FA4D6E68"/>
    <w:rsid w:val="FA570D3A"/>
    <w:rsid w:val="FB29C12D"/>
    <w:rsid w:val="FB3994E3"/>
    <w:rsid w:val="FB661450"/>
    <w:rsid w:val="FB7E96FF"/>
    <w:rsid w:val="FB7FE500"/>
    <w:rsid w:val="FBB7C5E5"/>
    <w:rsid w:val="FBBE5ED5"/>
    <w:rsid w:val="FBFF7B08"/>
    <w:rsid w:val="FCFBDC2C"/>
    <w:rsid w:val="FCFF776D"/>
    <w:rsid w:val="FD7AC86A"/>
    <w:rsid w:val="FDDFD070"/>
    <w:rsid w:val="FDECB076"/>
    <w:rsid w:val="FDEDFC84"/>
    <w:rsid w:val="FDFCE781"/>
    <w:rsid w:val="FE3E04B0"/>
    <w:rsid w:val="FE4F9AE8"/>
    <w:rsid w:val="FE5F4915"/>
    <w:rsid w:val="FE7D4751"/>
    <w:rsid w:val="FE7D7D6E"/>
    <w:rsid w:val="FEA55AA8"/>
    <w:rsid w:val="FEBF2C54"/>
    <w:rsid w:val="FEDF73FC"/>
    <w:rsid w:val="FEEF867B"/>
    <w:rsid w:val="FEFC60DB"/>
    <w:rsid w:val="FEFE961F"/>
    <w:rsid w:val="FEFFA58D"/>
    <w:rsid w:val="FF5D8EFE"/>
    <w:rsid w:val="FF5FE6AA"/>
    <w:rsid w:val="FF67ED6E"/>
    <w:rsid w:val="FF7756B8"/>
    <w:rsid w:val="FF78A259"/>
    <w:rsid w:val="FF7F0EB6"/>
    <w:rsid w:val="FF974662"/>
    <w:rsid w:val="FF97C795"/>
    <w:rsid w:val="FFA76088"/>
    <w:rsid w:val="FFBDAC7E"/>
    <w:rsid w:val="FFDD1491"/>
    <w:rsid w:val="FFDF8AC8"/>
    <w:rsid w:val="FFE922BF"/>
    <w:rsid w:val="FFEBD661"/>
    <w:rsid w:val="FFEDA256"/>
    <w:rsid w:val="FFEF3A4E"/>
    <w:rsid w:val="FFF3E68B"/>
    <w:rsid w:val="FFF626DD"/>
    <w:rsid w:val="FFFA3588"/>
    <w:rsid w:val="FFFD67E5"/>
    <w:rsid w:val="FFFF949D"/>
    <w:rsid w:val="FFFFDFFD"/>
    <w:rsid w:val="FFFFFC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CESI宋体-GB2312"/>
      <w:kern w:val="2"/>
      <w:sz w:val="32"/>
      <w:szCs w:val="24"/>
      <w:lang w:val="en-US" w:eastAsia="zh-CN" w:bidi="ar-SA"/>
    </w:rPr>
  </w:style>
  <w:style w:type="paragraph" w:styleId="3">
    <w:name w:val="heading 1"/>
    <w:basedOn w:val="1"/>
    <w:next w:val="1"/>
    <w:link w:val="17"/>
    <w:qFormat/>
    <w:uiPriority w:val="0"/>
    <w:pPr>
      <w:keepNext/>
      <w:keepLines/>
      <w:spacing w:before="340" w:beforeLines="0" w:beforeAutospacing="0" w:after="330" w:afterLines="0" w:afterAutospacing="0" w:line="576" w:lineRule="auto"/>
      <w:outlineLvl w:val="0"/>
    </w:pPr>
    <w:rPr>
      <w:rFonts w:ascii="Times New Roman" w:hAnsi="Times New Roman" w:eastAsia="宋体"/>
      <w:b/>
      <w:kern w:val="44"/>
      <w:sz w:val="44"/>
      <w:szCs w:val="20"/>
    </w:rPr>
  </w:style>
  <w:style w:type="character" w:default="1" w:styleId="16">
    <w:name w:val="Default Paragraph Font"/>
    <w:uiPriority w:val="0"/>
  </w:style>
  <w:style w:type="table" w:default="1" w:styleId="14">
    <w:name w:val="Normal Table"/>
    <w:semiHidden/>
    <w:qFormat/>
    <w:uiPriority w:val="0"/>
    <w:tblPr>
      <w:tblStyle w:val="14"/>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4">
    <w:name w:val="caption"/>
    <w:basedOn w:val="1"/>
    <w:qFormat/>
    <w:uiPriority w:val="0"/>
    <w:pPr>
      <w:widowControl w:val="0"/>
      <w:suppressLineNumbers/>
      <w:suppressAutoHyphens/>
      <w:spacing w:before="120" w:after="120"/>
    </w:pPr>
    <w:rPr>
      <w:i/>
      <w:iCs/>
      <w:sz w:val="24"/>
      <w:szCs w:val="24"/>
    </w:rPr>
  </w:style>
  <w:style w:type="paragraph" w:styleId="5">
    <w:name w:val="Body Text"/>
    <w:basedOn w:val="1"/>
    <w:uiPriority w:val="0"/>
    <w:pPr>
      <w:spacing w:before="0" w:after="140" w:line="276" w:lineRule="auto"/>
    </w:pPr>
  </w:style>
  <w:style w:type="paragraph" w:styleId="6">
    <w:name w:val="Body Text Indent"/>
    <w:basedOn w:val="1"/>
    <w:link w:val="30"/>
    <w:uiPriority w:val="0"/>
    <w:pPr>
      <w:spacing w:after="120"/>
      <w:ind w:left="420" w:leftChars="200"/>
    </w:pPr>
  </w:style>
  <w:style w:type="paragraph" w:styleId="7">
    <w:name w:val="Date"/>
    <w:basedOn w:val="1"/>
    <w:next w:val="1"/>
    <w:link w:val="28"/>
    <w:uiPriority w:val="0"/>
    <w:pPr>
      <w:ind w:left="100" w:leftChars="2500"/>
    </w:pPr>
  </w:style>
  <w:style w:type="paragraph" w:styleId="8">
    <w:name w:val="footer"/>
    <w:basedOn w:val="1"/>
    <w:link w:val="27"/>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5"/>
    <w:uiPriority w:val="0"/>
  </w:style>
  <w:style w:type="paragraph" w:styleId="11">
    <w:name w:val="HTML Preformatted"/>
    <w:basedOn w:val="1"/>
    <w:link w:val="2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hint="eastAsia" w:ascii="宋体" w:hAnsi="宋体" w:eastAsia="宋体"/>
      <w:kern w:val="0"/>
      <w:sz w:val="24"/>
    </w:rPr>
  </w:style>
  <w:style w:type="paragraph" w:styleId="12">
    <w:name w:val="Normal (Web)"/>
    <w:basedOn w:val="1"/>
    <w:qFormat/>
    <w:uiPriority w:val="0"/>
    <w:pPr>
      <w:suppressAutoHyphens w:val="0"/>
      <w:spacing w:before="100" w:beforeAutospacing="1" w:after="100" w:afterAutospacing="1"/>
      <w:jc w:val="left"/>
    </w:pPr>
    <w:rPr>
      <w:rFonts w:eastAsia="宋体"/>
      <w:kern w:val="0"/>
      <w:sz w:val="24"/>
    </w:rPr>
  </w:style>
  <w:style w:type="paragraph" w:styleId="13">
    <w:name w:val="Body Text First Indent 2"/>
    <w:basedOn w:val="6"/>
    <w:link w:val="31"/>
    <w:uiPriority w:val="0"/>
    <w:pPr>
      <w:ind w:firstLine="420" w:firstLineChars="200"/>
    </w:pPr>
  </w:style>
  <w:style w:type="table" w:styleId="15">
    <w:name w:val="Table Grid"/>
    <w:basedOn w:val="14"/>
    <w:qFormat/>
    <w:uiPriority w:val="0"/>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Char"/>
    <w:link w:val="3"/>
    <w:uiPriority w:val="0"/>
    <w:rPr>
      <w:b/>
      <w:kern w:val="44"/>
      <w:sz w:val="44"/>
    </w:rPr>
  </w:style>
  <w:style w:type="character" w:customStyle="1" w:styleId="18">
    <w:name w:val="默认段落字体1"/>
    <w:uiPriority w:val="0"/>
  </w:style>
  <w:style w:type="paragraph" w:customStyle="1" w:styleId="19">
    <w:name w:val="Heading"/>
    <w:basedOn w:val="1"/>
    <w:next w:val="5"/>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0">
    <w:name w:val="Index"/>
    <w:basedOn w:val="1"/>
    <w:uiPriority w:val="0"/>
    <w:pPr>
      <w:widowControl w:val="0"/>
      <w:suppressLineNumbers/>
      <w:suppressAutoHyphens/>
    </w:pPr>
  </w:style>
  <w:style w:type="paragraph" w:customStyle="1" w:styleId="21">
    <w:name w:val="一级标题"/>
    <w:basedOn w:val="1"/>
    <w:uiPriority w:val="0"/>
    <w:pPr>
      <w:spacing w:line="560" w:lineRule="exact"/>
      <w:ind w:firstLine="640" w:firstLineChars="200"/>
      <w:jc w:val="left"/>
    </w:pPr>
    <w:rPr>
      <w:rFonts w:hint="eastAsia" w:ascii="黑体" w:hAnsi="黑体" w:eastAsia="黑体" w:cs="黑体"/>
      <w:sz w:val="32"/>
      <w:szCs w:val="32"/>
    </w:rPr>
  </w:style>
  <w:style w:type="paragraph" w:customStyle="1" w:styleId="22">
    <w:name w:val="二级标题"/>
    <w:basedOn w:val="1"/>
    <w:link w:val="23"/>
    <w:uiPriority w:val="0"/>
    <w:pPr>
      <w:spacing w:line="560" w:lineRule="exact"/>
      <w:ind w:firstLine="642" w:firstLineChars="200"/>
      <w:jc w:val="left"/>
    </w:pPr>
    <w:rPr>
      <w:rFonts w:hint="eastAsia" w:ascii="楷体_GB2312" w:hAnsi="楷体_GB2312" w:eastAsia="楷体_GB2312"/>
      <w:bCs/>
      <w:kern w:val="0"/>
      <w:szCs w:val="32"/>
    </w:rPr>
  </w:style>
  <w:style w:type="character" w:customStyle="1" w:styleId="23">
    <w:name w:val="二级标题 Char"/>
    <w:link w:val="22"/>
    <w:uiPriority w:val="0"/>
    <w:rPr>
      <w:rFonts w:hint="eastAsia" w:ascii="楷体_GB2312" w:hAnsi="楷体_GB2312" w:eastAsia="楷体_GB2312" w:cs="楷体_GB2312"/>
      <w:bCs/>
      <w:sz w:val="32"/>
      <w:szCs w:val="32"/>
    </w:rPr>
  </w:style>
  <w:style w:type="paragraph" w:customStyle="1" w:styleId="24">
    <w:name w:val="三级标题"/>
    <w:basedOn w:val="1"/>
    <w:uiPriority w:val="0"/>
    <w:pPr>
      <w:spacing w:line="560" w:lineRule="exact"/>
      <w:ind w:firstLine="642" w:firstLineChars="200"/>
      <w:jc w:val="left"/>
    </w:pPr>
    <w:rPr>
      <w:rFonts w:hint="eastAsia" w:ascii="仿宋_GB2312" w:hAnsi="仿宋_GB2312" w:eastAsia="仿宋_GB2312" w:cs="仿宋_GB2312"/>
      <w:b/>
      <w:bCs/>
      <w:sz w:val="32"/>
      <w:szCs w:val="32"/>
    </w:rPr>
  </w:style>
  <w:style w:type="paragraph" w:customStyle="1" w:styleId="25">
    <w:name w:val="正文1"/>
    <w:basedOn w:val="1"/>
    <w:link w:val="26"/>
    <w:uiPriority w:val="0"/>
    <w:pPr>
      <w:adjustRightInd w:val="0"/>
      <w:snapToGrid w:val="0"/>
      <w:spacing w:line="560" w:lineRule="exact"/>
      <w:ind w:firstLine="640" w:firstLineChars="200"/>
    </w:pPr>
    <w:rPr>
      <w:rFonts w:hint="eastAsia" w:ascii="仿宋_GB2312" w:hAnsi="仿宋_GB2312" w:eastAsia="仿宋_GB2312"/>
      <w:kern w:val="0"/>
      <w:sz w:val="20"/>
      <w:szCs w:val="32"/>
    </w:rPr>
  </w:style>
  <w:style w:type="character" w:customStyle="1" w:styleId="26">
    <w:name w:val="正文1 Char"/>
    <w:link w:val="25"/>
    <w:uiPriority w:val="0"/>
    <w:rPr>
      <w:rFonts w:hint="eastAsia" w:ascii="仿宋_GB2312" w:hAnsi="仿宋_GB2312" w:eastAsia="仿宋_GB2312" w:cs="仿宋_GB2312"/>
      <w:szCs w:val="32"/>
    </w:rPr>
  </w:style>
  <w:style w:type="character" w:customStyle="1" w:styleId="27">
    <w:name w:val="页脚 Char"/>
    <w:basedOn w:val="16"/>
    <w:link w:val="8"/>
    <w:uiPriority w:val="99"/>
    <w:rPr>
      <w:rFonts w:ascii="Calibri" w:hAnsi="Calibri" w:eastAsia="CESI宋体-GB2312"/>
      <w:kern w:val="2"/>
      <w:sz w:val="18"/>
      <w:szCs w:val="24"/>
    </w:rPr>
  </w:style>
  <w:style w:type="character" w:customStyle="1" w:styleId="28">
    <w:name w:val="日期 Char"/>
    <w:basedOn w:val="16"/>
    <w:link w:val="7"/>
    <w:uiPriority w:val="0"/>
    <w:rPr>
      <w:rFonts w:ascii="Calibri" w:hAnsi="Calibri" w:eastAsia="CESI宋体-GB2312"/>
      <w:kern w:val="2"/>
      <w:sz w:val="32"/>
      <w:szCs w:val="24"/>
    </w:rPr>
  </w:style>
  <w:style w:type="character" w:customStyle="1" w:styleId="29">
    <w:name w:val="HTML 预设格式 Char"/>
    <w:basedOn w:val="16"/>
    <w:link w:val="11"/>
    <w:uiPriority w:val="0"/>
    <w:rPr>
      <w:rFonts w:ascii="宋体" w:hAnsi="宋体"/>
      <w:sz w:val="24"/>
      <w:szCs w:val="24"/>
    </w:rPr>
  </w:style>
  <w:style w:type="character" w:customStyle="1" w:styleId="30">
    <w:name w:val="正文文本缩进 Char"/>
    <w:basedOn w:val="16"/>
    <w:link w:val="6"/>
    <w:uiPriority w:val="0"/>
    <w:rPr>
      <w:rFonts w:ascii="Calibri" w:hAnsi="Calibri" w:eastAsia="CESI宋体-GB2312"/>
      <w:kern w:val="2"/>
      <w:sz w:val="32"/>
      <w:szCs w:val="24"/>
    </w:rPr>
  </w:style>
  <w:style w:type="character" w:customStyle="1" w:styleId="31">
    <w:name w:val="正文首行缩进 2 Char"/>
    <w:basedOn w:val="30"/>
    <w:link w:val="13"/>
    <w:uiPriority w:val="0"/>
  </w:style>
  <w:style w:type="paragraph" w:styleId="32">
    <w:name w:val="No Spacing"/>
    <w:qFormat/>
    <w:uiPriority w:val="1"/>
    <w:pPr>
      <w:widowControl w:val="0"/>
      <w:jc w:val="both"/>
    </w:pPr>
    <w:rPr>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uos\.local\share\Kingsoft\office6\templates\wps\zh_CN\&#27169;&#26495;wps.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模板wps.wpt</Template>
  <Company>China</Company>
  <Pages>3</Pages>
  <Words>1204</Words>
  <Characters>1264</Characters>
  <Lines>9</Lines>
  <Paragraphs>2</Paragraphs>
  <TotalTime>49</TotalTime>
  <ScaleCrop>false</ScaleCrop>
  <LinksUpToDate>false</LinksUpToDate>
  <CharactersWithSpaces>1330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2025-12-24T02:38:00Z</dcterms:created>
  <dc:creator>uos</dc:creator>
  <cp:lastModifiedBy>反相恰恰</cp:lastModifiedBy>
  <cp:lastPrinted>2025-12-17T01:27:00Z</cp:lastPrinted>
  <dcterms:modified xsi:type="dcterms:W3CDTF">2025-12-24T08:36:41Z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A4CD49F673E04EDAAB116753D810027A_13</vt:lpwstr>
  </property>
  <property fmtid="{D5CDD505-2E9C-101B-9397-08002B2CF9AE}" pid="4" name="KSOTemplateDocerSaveRecord">
    <vt:lpwstr>eyJoZGlkIjoiZDM3ZTBjYTE2MTFlNGI4NDg0ZmFlNWZjYTJhZmRmZWUiLCJ1c2VySWQiOiIxMjg3NzgxMTI2In0=</vt:lpwstr>
  </property>
</Properties>
</file>