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A40A">
      <w:pPr>
        <w:spacing w:line="480" w:lineRule="exact"/>
        <w:rPr>
          <w:rFonts w:hint="default" w:ascii="黑体" w:hAnsi="Times New Roman" w:eastAsia="黑体" w:cs="黑体"/>
          <w:kern w:val="0"/>
          <w:sz w:val="32"/>
          <w:szCs w:val="32"/>
          <w:lang w:val="en-US" w:eastAsia="zh-CN"/>
        </w:rPr>
      </w:pPr>
      <w:bookmarkStart w:id="1" w:name="_GoBack"/>
      <w:bookmarkEnd w:id="1"/>
      <w:r>
        <w:rPr>
          <w:rFonts w:hint="eastAsia" w:ascii="黑体" w:hAnsi="Times New Roman" w:eastAsia="黑体" w:cs="黑体"/>
          <w:kern w:val="0"/>
          <w:sz w:val="32"/>
          <w:szCs w:val="32"/>
          <w:lang w:val="en-US" w:eastAsia="zh-CN"/>
        </w:rPr>
        <w:t>附表3：</w:t>
      </w:r>
    </w:p>
    <w:p w14:paraId="67526FFA">
      <w:pPr>
        <w:spacing w:line="480" w:lineRule="exact"/>
        <w:jc w:val="center"/>
        <w:rPr>
          <w:rFonts w:hint="eastAsia" w:ascii="华文中宋" w:hAnsi="华文中宋" w:eastAsia="华文中宋"/>
          <w:sz w:val="44"/>
          <w:szCs w:val="44"/>
        </w:rPr>
      </w:pPr>
    </w:p>
    <w:p w14:paraId="7F350AE9">
      <w:pPr>
        <w:spacing w:line="480" w:lineRule="exact"/>
        <w:jc w:val="center"/>
        <w:rPr>
          <w:rFonts w:hint="eastAsia" w:ascii="华文中宋" w:hAnsi="华文中宋" w:eastAsia="华文中宋"/>
          <w:sz w:val="32"/>
          <w:szCs w:val="32"/>
        </w:rPr>
      </w:pPr>
      <w:r>
        <w:rPr>
          <w:rFonts w:hint="eastAsia" w:ascii="华文中宋" w:hAnsi="华文中宋" w:eastAsia="华文中宋"/>
          <w:sz w:val="44"/>
          <w:szCs w:val="44"/>
          <w:lang w:val="en-US" w:eastAsia="zh-CN"/>
        </w:rPr>
        <w:t>国有农用地转用</w:t>
      </w:r>
      <w:r>
        <w:rPr>
          <w:rFonts w:hint="eastAsia" w:ascii="华文中宋" w:hAnsi="华文中宋" w:eastAsia="华文中宋"/>
          <w:sz w:val="44"/>
          <w:szCs w:val="44"/>
        </w:rPr>
        <w:t>补偿安置方案</w:t>
      </w:r>
    </w:p>
    <w:p w14:paraId="1D213FA6">
      <w:pPr>
        <w:spacing w:line="500" w:lineRule="exact"/>
        <w:jc w:val="center"/>
        <w:rPr>
          <w:rFonts w:hint="eastAsia" w:ascii="仿宋_GB2312" w:eastAsia="仿宋_GB2312"/>
          <w:sz w:val="32"/>
          <w:szCs w:val="32"/>
        </w:rPr>
      </w:pPr>
    </w:p>
    <w:p w14:paraId="009552B7">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bookmarkStart w:id="0" w:name="OLE_LINK1"/>
      <w:r>
        <w:rPr>
          <w:rFonts w:hint="eastAsia" w:ascii="仿宋_GB2312" w:eastAsia="仿宋_GB2312" w:cs="仿宋_GB2312"/>
          <w:kern w:val="0"/>
          <w:sz w:val="32"/>
          <w:szCs w:val="32"/>
        </w:rPr>
        <w:t>根据</w:t>
      </w:r>
      <w:r>
        <w:rPr>
          <w:rFonts w:hint="eastAsia" w:ascii="仿宋_GB2312" w:hAnsi="宋体" w:eastAsia="仿宋_GB2312"/>
          <w:sz w:val="32"/>
          <w:szCs w:val="32"/>
        </w:rPr>
        <w:t>《</w:t>
      </w:r>
      <w:r>
        <w:rPr>
          <w:rFonts w:hint="eastAsia" w:ascii="仿宋_GB2312" w:hAnsi="宋体" w:eastAsia="仿宋_GB2312"/>
          <w:sz w:val="32"/>
          <w:szCs w:val="32"/>
          <w:lang w:val="en-US" w:eastAsia="zh-CN"/>
        </w:rPr>
        <w:t>国有农用地转用</w:t>
      </w:r>
      <w:r>
        <w:rPr>
          <w:rFonts w:hint="eastAsia" w:ascii="仿宋_GB2312" w:hAnsi="宋体" w:eastAsia="仿宋_GB2312"/>
          <w:sz w:val="32"/>
          <w:szCs w:val="32"/>
        </w:rPr>
        <w:t>预公告》</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青转告字〔2026〕13-1号</w:t>
      </w:r>
      <w:r>
        <w:rPr>
          <w:rFonts w:hint="eastAsia" w:ascii="仿宋_GB2312" w:eastAsia="仿宋_GB2312" w:cs="仿宋_GB2312"/>
          <w:kern w:val="0"/>
          <w:sz w:val="32"/>
          <w:szCs w:val="32"/>
        </w:rPr>
        <w:t>）</w:t>
      </w:r>
      <w:r>
        <w:rPr>
          <w:rFonts w:hint="eastAsia" w:ascii="仿宋_GB2312" w:hAnsi="宋体" w:eastAsia="仿宋_GB2312"/>
          <w:sz w:val="32"/>
          <w:szCs w:val="32"/>
        </w:rPr>
        <w:t>，</w:t>
      </w:r>
      <w:r>
        <w:rPr>
          <w:rFonts w:hint="eastAsia" w:ascii="仿宋_GB2312" w:eastAsia="仿宋_GB2312" w:cs="仿宋_GB2312"/>
          <w:kern w:val="0"/>
          <w:sz w:val="32"/>
          <w:szCs w:val="32"/>
          <w:lang w:val="en-US" w:eastAsia="zh-CN"/>
        </w:rPr>
        <w:t>转用土地</w:t>
      </w:r>
      <w:r>
        <w:rPr>
          <w:rFonts w:hint="eastAsia" w:ascii="仿宋_GB2312" w:eastAsia="仿宋_GB2312" w:cs="仿宋_GB2312"/>
          <w:kern w:val="0"/>
          <w:sz w:val="32"/>
          <w:szCs w:val="32"/>
        </w:rPr>
        <w:t>范围内土地现状调查结果及社会稳定风险评估结果，我区组织自然资源和城乡建设、财政、农业农村、人力资源和社会保障等部门编制了《</w:t>
      </w:r>
      <w:r>
        <w:rPr>
          <w:rFonts w:hint="eastAsia" w:ascii="仿宋_GB2312" w:eastAsia="仿宋_GB2312" w:cs="仿宋_GB2312"/>
          <w:kern w:val="0"/>
          <w:sz w:val="32"/>
          <w:szCs w:val="32"/>
          <w:highlight w:val="none"/>
          <w:lang w:val="en-US" w:eastAsia="zh-CN"/>
        </w:rPr>
        <w:t>国有农用地转用补偿安置方案</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rPr>
        <w:t>（以下简称《方案》），具体内容如下：</w:t>
      </w:r>
    </w:p>
    <w:p w14:paraId="1B05CFD3">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ascii="黑体" w:eastAsia="黑体" w:cs="黑体"/>
          <w:kern w:val="0"/>
          <w:sz w:val="32"/>
          <w:szCs w:val="32"/>
        </w:rPr>
      </w:pPr>
      <w:r>
        <w:rPr>
          <w:rFonts w:hint="eastAsia" w:ascii="黑体" w:eastAsia="黑体" w:cs="黑体"/>
          <w:kern w:val="0"/>
          <w:sz w:val="32"/>
          <w:szCs w:val="32"/>
        </w:rPr>
        <w:t>一、土地</w:t>
      </w:r>
      <w:r>
        <w:rPr>
          <w:rFonts w:hint="eastAsia" w:ascii="黑体" w:eastAsia="黑体" w:cs="黑体"/>
          <w:kern w:val="0"/>
          <w:sz w:val="32"/>
          <w:szCs w:val="32"/>
          <w:lang w:val="en-US" w:eastAsia="zh-CN"/>
        </w:rPr>
        <w:t>转用</w:t>
      </w:r>
      <w:r>
        <w:rPr>
          <w:rFonts w:hint="eastAsia" w:ascii="黑体" w:eastAsia="黑体" w:cs="黑体"/>
          <w:kern w:val="0"/>
          <w:sz w:val="32"/>
          <w:szCs w:val="32"/>
        </w:rPr>
        <w:t>目的</w:t>
      </w:r>
    </w:p>
    <w:p w14:paraId="7E3F6939">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该项目已取得《区发改局关于联丰二路（金港北路-联丰大道）道路和排水工程可行性研究报告（代项目建议书）的批复》（青发改政〔2026〕10号），项目为公共利益需要，建设符合土地供应政策。</w:t>
      </w:r>
    </w:p>
    <w:p w14:paraId="30855A32">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ascii="黑体" w:eastAsia="黑体" w:cs="黑体"/>
          <w:kern w:val="0"/>
          <w:sz w:val="32"/>
          <w:szCs w:val="32"/>
        </w:rPr>
      </w:pPr>
      <w:r>
        <w:rPr>
          <w:rFonts w:hint="eastAsia" w:ascii="黑体" w:eastAsia="黑体" w:cs="黑体"/>
          <w:kern w:val="0"/>
          <w:sz w:val="32"/>
          <w:szCs w:val="32"/>
        </w:rPr>
        <w:t>二、土地</w:t>
      </w:r>
      <w:r>
        <w:rPr>
          <w:rFonts w:hint="eastAsia" w:ascii="黑体" w:eastAsia="黑体" w:cs="黑体"/>
          <w:kern w:val="0"/>
          <w:sz w:val="32"/>
          <w:szCs w:val="32"/>
          <w:lang w:val="en-US" w:eastAsia="zh-CN"/>
        </w:rPr>
        <w:t>转用</w:t>
      </w:r>
      <w:r>
        <w:rPr>
          <w:rFonts w:hint="eastAsia" w:ascii="黑体" w:eastAsia="黑体" w:cs="黑体"/>
          <w:kern w:val="0"/>
          <w:sz w:val="32"/>
          <w:szCs w:val="32"/>
        </w:rPr>
        <w:t>位置、面积和范围</w:t>
      </w:r>
    </w:p>
    <w:p w14:paraId="387FD5B8">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该项目</w:t>
      </w:r>
      <w:r>
        <w:rPr>
          <w:rFonts w:hint="eastAsia" w:ascii="仿宋_GB2312" w:eastAsia="仿宋_GB2312" w:cs="仿宋_GB2312"/>
          <w:kern w:val="0"/>
          <w:sz w:val="32"/>
          <w:szCs w:val="32"/>
          <w:lang w:val="en-US" w:eastAsia="zh-CN"/>
        </w:rPr>
        <w:t>农用地转用</w:t>
      </w:r>
      <w:r>
        <w:rPr>
          <w:rFonts w:hint="eastAsia" w:ascii="仿宋_GB2312" w:eastAsia="仿宋_GB2312" w:cs="仿宋_GB2312"/>
          <w:kern w:val="0"/>
          <w:sz w:val="32"/>
          <w:szCs w:val="32"/>
        </w:rPr>
        <w:t>涉及</w:t>
      </w:r>
      <w:r>
        <w:rPr>
          <w:rFonts w:hint="eastAsia" w:ascii="仿宋_GB2312" w:eastAsia="仿宋_GB2312" w:cs="仿宋_GB2312"/>
          <w:kern w:val="0"/>
          <w:sz w:val="32"/>
          <w:szCs w:val="32"/>
          <w:lang w:val="en-US" w:eastAsia="zh-CN"/>
        </w:rPr>
        <w:t>武汉钢铁（集团）公司北湖农场</w:t>
      </w:r>
      <w:r>
        <w:rPr>
          <w:rFonts w:hint="eastAsia" w:ascii="仿宋_GB2312" w:eastAsia="仿宋_GB2312" w:cs="仿宋_GB2312"/>
          <w:kern w:val="0"/>
          <w:sz w:val="32"/>
          <w:szCs w:val="32"/>
        </w:rPr>
        <w:t>，拟用地总</w:t>
      </w:r>
      <w:r>
        <w:rPr>
          <w:rFonts w:hint="eastAsia" w:ascii="仿宋_GB2312" w:hAnsi="Times New Roman" w:eastAsia="仿宋_GB2312" w:cs="仿宋_GB2312"/>
          <w:kern w:val="0"/>
          <w:sz w:val="32"/>
          <w:szCs w:val="32"/>
        </w:rPr>
        <w:t>面积</w:t>
      </w:r>
      <w:r>
        <w:rPr>
          <w:rFonts w:hint="eastAsia" w:ascii="仿宋_GB2312" w:hAnsi="Times New Roman" w:eastAsia="仿宋_GB2312" w:cs="仿宋_GB2312"/>
          <w:kern w:val="0"/>
          <w:sz w:val="32"/>
          <w:szCs w:val="32"/>
          <w:lang w:val="en-US" w:eastAsia="zh-CN"/>
        </w:rPr>
        <w:t>0.4838</w:t>
      </w:r>
      <w:r>
        <w:rPr>
          <w:rFonts w:hint="eastAsia" w:ascii="仿宋_GB2312" w:hAnsi="Times New Roman" w:eastAsia="仿宋_GB2312" w:cs="仿宋_GB2312"/>
          <w:kern w:val="0"/>
          <w:sz w:val="32"/>
          <w:szCs w:val="32"/>
        </w:rPr>
        <w:t>公顷</w:t>
      </w:r>
      <w:r>
        <w:rPr>
          <w:rFonts w:hint="eastAsia" w:ascii="仿宋_GB2312" w:eastAsia="仿宋_GB2312" w:cs="仿宋_GB2312"/>
          <w:kern w:val="0"/>
          <w:sz w:val="32"/>
          <w:szCs w:val="32"/>
        </w:rPr>
        <w:t>，</w:t>
      </w:r>
      <w:r>
        <w:rPr>
          <w:rFonts w:hint="eastAsia" w:ascii="仿宋_GB2312" w:eastAsia="仿宋_GB2312" w:cs="仿宋_GB2312"/>
          <w:kern w:val="0"/>
          <w:sz w:val="32"/>
          <w:szCs w:val="32"/>
          <w:highlight w:val="none"/>
        </w:rPr>
        <w:t>按权属和地类分：均为</w:t>
      </w:r>
      <w:r>
        <w:rPr>
          <w:rFonts w:hint="eastAsia" w:ascii="仿宋_GB2312" w:eastAsia="仿宋_GB2312" w:cs="仿宋_GB2312"/>
          <w:kern w:val="0"/>
          <w:sz w:val="32"/>
          <w:szCs w:val="32"/>
          <w:highlight w:val="none"/>
          <w:lang w:val="en-US" w:eastAsia="zh-CN"/>
        </w:rPr>
        <w:t>单位</w:t>
      </w:r>
      <w:r>
        <w:rPr>
          <w:rFonts w:hint="eastAsia" w:ascii="仿宋_GB2312" w:eastAsia="仿宋_GB2312" w:cs="仿宋_GB2312"/>
          <w:kern w:val="0"/>
          <w:sz w:val="32"/>
          <w:szCs w:val="32"/>
          <w:highlight w:val="none"/>
        </w:rPr>
        <w:t>所有</w:t>
      </w:r>
      <w:r>
        <w:rPr>
          <w:rFonts w:hint="eastAsia" w:ascii="仿宋_GB2312" w:eastAsia="仿宋_GB2312" w:cs="仿宋_GB2312"/>
          <w:kern w:val="0"/>
          <w:sz w:val="32"/>
          <w:szCs w:val="32"/>
        </w:rPr>
        <w:t>。具体范围详见勘测定界图。</w:t>
      </w:r>
    </w:p>
    <w:p w14:paraId="429096E2">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ascii="黑体" w:eastAsia="黑体" w:cs="黑体"/>
          <w:kern w:val="0"/>
          <w:sz w:val="32"/>
          <w:szCs w:val="32"/>
        </w:rPr>
      </w:pPr>
      <w:r>
        <w:rPr>
          <w:rFonts w:hint="eastAsia" w:ascii="黑体" w:eastAsia="黑体" w:cs="黑体"/>
          <w:kern w:val="0"/>
          <w:sz w:val="32"/>
          <w:szCs w:val="32"/>
        </w:rPr>
        <w:t>三、土地现状调查结果</w:t>
      </w:r>
    </w:p>
    <w:p w14:paraId="0CEE876B">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拟</w:t>
      </w:r>
      <w:r>
        <w:rPr>
          <w:rFonts w:hint="eastAsia" w:ascii="仿宋_GB2312" w:eastAsia="仿宋_GB2312" w:cs="仿宋_GB2312"/>
          <w:kern w:val="0"/>
          <w:sz w:val="32"/>
          <w:szCs w:val="32"/>
          <w:lang w:val="en-US" w:eastAsia="zh-CN"/>
        </w:rPr>
        <w:t>转用</w:t>
      </w:r>
      <w:r>
        <w:rPr>
          <w:rFonts w:hint="eastAsia" w:ascii="仿宋_GB2312" w:eastAsia="仿宋_GB2312" w:cs="仿宋_GB2312"/>
          <w:kern w:val="0"/>
          <w:sz w:val="32"/>
          <w:szCs w:val="32"/>
        </w:rPr>
        <w:t>土地权属、面积、地类及住宅、其他地上附着物和青苗等的权属、种类、数量等详见《</w:t>
      </w:r>
      <w:r>
        <w:rPr>
          <w:rFonts w:hint="eastAsia" w:ascii="仿宋_GB2312" w:hAnsi="宋体" w:eastAsia="仿宋_GB2312"/>
          <w:sz w:val="32"/>
          <w:szCs w:val="32"/>
        </w:rPr>
        <w:t>拟</w:t>
      </w:r>
      <w:r>
        <w:rPr>
          <w:rFonts w:hint="eastAsia" w:ascii="仿宋_GB2312" w:hAnsi="宋体" w:eastAsia="仿宋_GB2312"/>
          <w:sz w:val="32"/>
          <w:szCs w:val="32"/>
          <w:lang w:val="en-US" w:eastAsia="zh-CN"/>
        </w:rPr>
        <w:t>转用</w:t>
      </w:r>
      <w:r>
        <w:rPr>
          <w:rFonts w:hint="eastAsia" w:ascii="仿宋_GB2312" w:eastAsia="仿宋_GB2312" w:cs="仿宋_GB2312"/>
          <w:kern w:val="0"/>
          <w:sz w:val="32"/>
          <w:szCs w:val="32"/>
        </w:rPr>
        <w:t>土地现状调查结果的确认表》。</w:t>
      </w:r>
    </w:p>
    <w:p w14:paraId="5D68B431">
      <w:pPr>
        <w:keepNext w:val="0"/>
        <w:keepLines w:val="0"/>
        <w:pageBreakBefore w:val="0"/>
        <w:widowControl w:val="0"/>
        <w:kinsoku/>
        <w:wordWrap/>
        <w:overflowPunct/>
        <w:topLinePunct w:val="0"/>
        <w:autoSpaceDE w:val="0"/>
        <w:autoSpaceDN w:val="0"/>
        <w:bidi w:val="0"/>
        <w:adjustRightInd w:val="0"/>
        <w:snapToGrid/>
        <w:jc w:val="both"/>
        <w:textAlignment w:val="auto"/>
        <w:rPr>
          <w:rFonts w:ascii="黑体" w:eastAsia="黑体" w:cs="黑体"/>
          <w:kern w:val="0"/>
          <w:sz w:val="32"/>
          <w:szCs w:val="32"/>
        </w:rPr>
      </w:pPr>
      <w:r>
        <w:rPr>
          <w:rFonts w:hint="eastAsia" w:ascii="仿宋_GB2312" w:eastAsia="仿宋_GB2312" w:cs="仿宋_GB2312"/>
          <w:kern w:val="0"/>
          <w:sz w:val="32"/>
          <w:szCs w:val="32"/>
        </w:rPr>
        <w:t xml:space="preserve">    </w:t>
      </w:r>
      <w:r>
        <w:rPr>
          <w:rFonts w:hint="eastAsia" w:ascii="黑体" w:eastAsia="黑体" w:cs="黑体"/>
          <w:kern w:val="0"/>
          <w:sz w:val="32"/>
          <w:szCs w:val="32"/>
        </w:rPr>
        <w:t>四、土地</w:t>
      </w:r>
      <w:r>
        <w:rPr>
          <w:rFonts w:hint="eastAsia" w:ascii="黑体" w:eastAsia="黑体" w:cs="黑体"/>
          <w:kern w:val="0"/>
          <w:sz w:val="32"/>
          <w:szCs w:val="32"/>
          <w:lang w:val="en-US" w:eastAsia="zh-CN"/>
        </w:rPr>
        <w:t>转用</w:t>
      </w:r>
      <w:r>
        <w:rPr>
          <w:rFonts w:hint="eastAsia" w:ascii="黑体" w:eastAsia="黑体" w:cs="黑体"/>
          <w:kern w:val="0"/>
          <w:sz w:val="32"/>
          <w:szCs w:val="32"/>
        </w:rPr>
        <w:t>补偿标准</w:t>
      </w:r>
    </w:p>
    <w:p w14:paraId="1DE63354">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Times New Roman"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hAnsi="Times New Roman" w:eastAsia="仿宋_GB2312" w:cs="仿宋_GB2312"/>
          <w:kern w:val="0"/>
          <w:sz w:val="32"/>
          <w:szCs w:val="32"/>
        </w:rPr>
        <w:t>土地补偿费和安置补助费补偿标准</w:t>
      </w:r>
      <w:r>
        <w:rPr>
          <w:rFonts w:hint="eastAsia" w:ascii="仿宋_GB2312" w:hAnsi="Times New Roman" w:eastAsia="仿宋_GB2312" w:cs="仿宋_GB2312"/>
          <w:kern w:val="0"/>
          <w:sz w:val="32"/>
          <w:szCs w:val="32"/>
          <w:lang w:val="en-US" w:eastAsia="zh-CN"/>
        </w:rPr>
        <w:t>参照</w:t>
      </w:r>
      <w:r>
        <w:rPr>
          <w:rFonts w:hint="eastAsia" w:ascii="仿宋_GB2312" w:hAnsi="Times New Roman" w:eastAsia="仿宋_GB2312" w:cs="仿宋_GB2312"/>
          <w:kern w:val="0"/>
          <w:sz w:val="32"/>
          <w:szCs w:val="32"/>
        </w:rPr>
        <w:t>执行《省人民政府关于重新公布全省征地区片综合地价标准的通知》(鄂政发〔2023〕16号）和《市人民政府关于公布武汉市征收集体建设用地和未利用地补偿标准的通知》（武政规〔2024〕7号），拟征土地位于</w:t>
      </w:r>
      <w:r>
        <w:rPr>
          <w:rFonts w:hint="eastAsia" w:ascii="仿宋_GB2312" w:hAnsi="Times New Roman" w:eastAsia="仿宋_GB2312" w:cs="仿宋_GB2312"/>
          <w:kern w:val="0"/>
          <w:sz w:val="32"/>
          <w:szCs w:val="32"/>
          <w:lang w:val="en-US" w:eastAsia="zh-CN"/>
        </w:rPr>
        <w:t>武汉市</w:t>
      </w:r>
      <w:r>
        <w:rPr>
          <w:rFonts w:hint="eastAsia" w:ascii="仿宋_GB2312" w:hAnsi="Times New Roman" w:eastAsia="仿宋_GB2312" w:cs="仿宋_GB2312"/>
          <w:kern w:val="0"/>
          <w:sz w:val="32"/>
          <w:szCs w:val="32"/>
        </w:rPr>
        <w:t>Ⅳ类</w:t>
      </w:r>
      <w:r>
        <w:rPr>
          <w:rFonts w:hint="eastAsia" w:ascii="仿宋_GB2312" w:hAnsi="Times New Roman" w:eastAsia="仿宋_GB2312" w:cs="仿宋_GB2312"/>
          <w:kern w:val="0"/>
          <w:sz w:val="32"/>
          <w:szCs w:val="32"/>
          <w:lang w:val="en-US" w:eastAsia="zh-CN"/>
        </w:rPr>
        <w:t>1个</w:t>
      </w:r>
      <w:r>
        <w:rPr>
          <w:rFonts w:hint="eastAsia" w:ascii="仿宋_GB2312" w:hAnsi="Times New Roman" w:eastAsia="仿宋_GB2312" w:cs="仿宋_GB2312"/>
          <w:kern w:val="0"/>
          <w:sz w:val="32"/>
          <w:szCs w:val="32"/>
        </w:rPr>
        <w:t>征地区片综合地价区域，标准为</w:t>
      </w:r>
      <w:r>
        <w:rPr>
          <w:rFonts w:hint="eastAsia" w:ascii="仿宋_GB2312" w:hAnsi="Times New Roman" w:eastAsia="仿宋_GB2312" w:cs="仿宋_GB2312"/>
          <w:kern w:val="0"/>
          <w:sz w:val="32"/>
          <w:szCs w:val="32"/>
          <w:lang w:val="en-US" w:eastAsia="zh-CN"/>
        </w:rPr>
        <w:t>363</w:t>
      </w:r>
      <w:r>
        <w:rPr>
          <w:rFonts w:hint="eastAsia" w:ascii="仿宋_GB2312" w:hAnsi="Times New Roman" w:eastAsia="仿宋_GB2312" w:cs="仿宋_GB2312"/>
          <w:kern w:val="0"/>
          <w:sz w:val="32"/>
          <w:szCs w:val="32"/>
        </w:rPr>
        <w:t>万元/公顷，土地补偿费按标准的40%计算，安置补助费按标准的60%计算。</w:t>
      </w:r>
    </w:p>
    <w:p w14:paraId="2CDB83C7">
      <w:pPr>
        <w:keepNext w:val="0"/>
        <w:keepLines w:val="0"/>
        <w:pageBreakBefore w:val="0"/>
        <w:widowControl w:val="0"/>
        <w:kinsoku/>
        <w:wordWrap/>
        <w:overflowPunct/>
        <w:topLinePunct w:val="0"/>
        <w:bidi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（二）青苗及其他地上附着物补偿</w:t>
      </w:r>
      <w:r>
        <w:rPr>
          <w:rFonts w:hint="eastAsia" w:ascii="仿宋_GB2312" w:eastAsia="仿宋_GB2312" w:cs="仿宋_GB2312"/>
          <w:kern w:val="0"/>
          <w:sz w:val="32"/>
          <w:szCs w:val="32"/>
          <w:lang w:val="en-US" w:eastAsia="zh-CN"/>
        </w:rPr>
        <w:t>参照</w:t>
      </w:r>
      <w:r>
        <w:rPr>
          <w:rFonts w:hint="eastAsia" w:ascii="仿宋_GB2312" w:eastAsia="仿宋_GB2312" w:cs="仿宋_GB2312"/>
          <w:kern w:val="0"/>
          <w:sz w:val="32"/>
          <w:szCs w:val="32"/>
        </w:rPr>
        <w:t>《市人民政府关于</w:t>
      </w:r>
      <w:r>
        <w:rPr>
          <w:rFonts w:hint="eastAsia" w:ascii="仿宋_GB2312" w:eastAsia="仿宋_GB2312" w:cs="仿宋_GB2312"/>
          <w:kern w:val="0"/>
          <w:sz w:val="32"/>
          <w:szCs w:val="32"/>
          <w:lang w:val="en-US" w:eastAsia="zh-CN"/>
        </w:rPr>
        <w:t>继续</w:t>
      </w:r>
      <w:r>
        <w:rPr>
          <w:rFonts w:hint="eastAsia" w:ascii="仿宋_GB2312" w:eastAsia="仿宋_GB2312" w:cs="仿宋_GB2312"/>
          <w:kern w:val="0"/>
          <w:sz w:val="32"/>
          <w:szCs w:val="32"/>
        </w:rPr>
        <w:t>实施武汉市被征收土地上的附着物和青苗补偿标准的通知》（武政规</w:t>
      </w:r>
      <w:r>
        <w:rPr>
          <w:rFonts w:hint="eastAsia" w:ascii="仿宋_GB2312" w:eastAsia="仿宋_GB2312" w:cs="仿宋_GB2312"/>
          <w:kern w:val="0"/>
          <w:sz w:val="32"/>
          <w:szCs w:val="32"/>
          <w:lang w:val="en-US" w:eastAsia="zh-CN"/>
        </w:rPr>
        <w:t>〔2025〕8</w:t>
      </w:r>
      <w:r>
        <w:rPr>
          <w:rFonts w:hint="eastAsia" w:ascii="仿宋_GB2312" w:eastAsia="仿宋_GB2312" w:cs="仿宋_GB2312"/>
          <w:kern w:val="0"/>
          <w:sz w:val="32"/>
          <w:szCs w:val="32"/>
        </w:rPr>
        <w:t>号）相关标准执行。</w:t>
      </w:r>
    </w:p>
    <w:p w14:paraId="5ECFE60D">
      <w:pPr>
        <w:keepNext w:val="0"/>
        <w:keepLines w:val="0"/>
        <w:pageBreakBefore w:val="0"/>
        <w:widowControl w:val="0"/>
        <w:kinsoku/>
        <w:wordWrap/>
        <w:overflowPunct/>
        <w:topLinePunct w:val="0"/>
        <w:bidi w:val="0"/>
        <w:snapToGrid/>
        <w:ind w:firstLine="640" w:firstLineChars="200"/>
        <w:jc w:val="both"/>
        <w:textAlignment w:val="auto"/>
        <w:rPr>
          <w:rFonts w:hint="eastAsia" w:ascii="仿宋_GB2312" w:eastAsia="仿宋_GB2312" w:cs="仿宋_GB2312"/>
          <w:kern w:val="0"/>
          <w:sz w:val="32"/>
          <w:szCs w:val="32"/>
          <w:highlight w:val="none"/>
          <w:lang w:val="en-US" w:eastAsia="zh-CN"/>
        </w:rPr>
      </w:pPr>
      <w:r>
        <w:rPr>
          <w:rFonts w:hint="eastAsia" w:ascii="仿宋_GB2312" w:eastAsia="仿宋_GB2312" w:cs="仿宋_GB2312"/>
          <w:kern w:val="0"/>
          <w:sz w:val="32"/>
          <w:szCs w:val="32"/>
          <w:highlight w:val="none"/>
        </w:rPr>
        <w:t>（三）</w:t>
      </w:r>
      <w:r>
        <w:rPr>
          <w:rFonts w:hint="eastAsia" w:ascii="仿宋_GB2312" w:eastAsia="仿宋_GB2312" w:cs="仿宋_GB2312"/>
          <w:kern w:val="0"/>
          <w:sz w:val="32"/>
          <w:szCs w:val="32"/>
          <w:lang w:val="en-US" w:eastAsia="zh-CN"/>
        </w:rPr>
        <w:t>不涉及房屋拆迁</w:t>
      </w:r>
      <w:r>
        <w:rPr>
          <w:rFonts w:hint="eastAsia" w:ascii="仿宋_GB2312" w:hAnsi="Times New Roman" w:eastAsia="仿宋_GB2312" w:cs="仿宋_GB2312"/>
          <w:kern w:val="0"/>
          <w:sz w:val="32"/>
          <w:szCs w:val="32"/>
          <w:highlight w:val="none"/>
          <w:lang w:eastAsia="zh-CN"/>
        </w:rPr>
        <w:t>。</w:t>
      </w:r>
    </w:p>
    <w:p w14:paraId="5381AD54">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ascii="黑体" w:eastAsia="黑体" w:cs="黑体"/>
          <w:kern w:val="0"/>
          <w:sz w:val="32"/>
          <w:szCs w:val="32"/>
        </w:rPr>
      </w:pPr>
      <w:r>
        <w:rPr>
          <w:rFonts w:hint="eastAsia" w:ascii="黑体" w:eastAsia="黑体" w:cs="黑体"/>
          <w:kern w:val="0"/>
          <w:sz w:val="32"/>
          <w:szCs w:val="32"/>
        </w:rPr>
        <w:t>五、安置方式和社会保障</w:t>
      </w:r>
    </w:p>
    <w:p w14:paraId="22DDD58C">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本地块土地权利人为武汉钢铁（集团）公司北湖农场，未承包至农工，无需办理农民安置和社会保障安置补偿。</w:t>
      </w:r>
    </w:p>
    <w:p w14:paraId="33BDF5FB">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ascii="黑体" w:eastAsia="黑体" w:cs="黑体"/>
          <w:kern w:val="0"/>
          <w:sz w:val="32"/>
          <w:szCs w:val="32"/>
        </w:rPr>
      </w:pPr>
      <w:r>
        <w:rPr>
          <w:rFonts w:hint="eastAsia" w:ascii="黑体" w:eastAsia="黑体" w:cs="黑体"/>
          <w:kern w:val="0"/>
          <w:sz w:val="32"/>
          <w:szCs w:val="32"/>
        </w:rPr>
        <w:t>六、其他</w:t>
      </w:r>
    </w:p>
    <w:p w14:paraId="14D64135">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在</w:t>
      </w:r>
      <w:r>
        <w:rPr>
          <w:rFonts w:hint="eastAsia" w:ascii="仿宋_GB2312" w:eastAsia="仿宋_GB2312" w:cs="仿宋_GB2312"/>
          <w:kern w:val="0"/>
          <w:sz w:val="32"/>
          <w:szCs w:val="32"/>
          <w:lang w:val="en-US" w:eastAsia="zh-CN"/>
        </w:rPr>
        <w:t>国有农用地转用</w:t>
      </w:r>
      <w:r>
        <w:rPr>
          <w:rFonts w:hint="eastAsia" w:ascii="仿宋_GB2312" w:eastAsia="仿宋_GB2312" w:cs="仿宋_GB2312"/>
          <w:kern w:val="0"/>
          <w:sz w:val="32"/>
          <w:szCs w:val="32"/>
        </w:rPr>
        <w:t>实施过程中，本《方案》相关内容发生变化的，以与土地所有权人、使用权人和地上附着物产权人签订的《</w:t>
      </w:r>
      <w:r>
        <w:rPr>
          <w:rFonts w:hint="eastAsia" w:ascii="仿宋_GB2312" w:eastAsia="仿宋_GB2312" w:cs="仿宋_GB2312"/>
          <w:kern w:val="0"/>
          <w:sz w:val="32"/>
          <w:szCs w:val="32"/>
          <w:lang w:val="en-US" w:eastAsia="zh-CN"/>
        </w:rPr>
        <w:t>国有农用地转用</w:t>
      </w:r>
      <w:r>
        <w:rPr>
          <w:rFonts w:hint="eastAsia" w:ascii="仿宋_GB2312" w:eastAsia="仿宋_GB2312" w:cs="仿宋_GB2312"/>
          <w:kern w:val="0"/>
          <w:sz w:val="32"/>
          <w:szCs w:val="32"/>
        </w:rPr>
        <w:t>补偿协议》约定内容为准。</w:t>
      </w:r>
    </w:p>
    <w:p w14:paraId="6DDC7F14">
      <w:pPr>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 xml:space="preserve">   </w:t>
      </w:r>
    </w:p>
    <w:bookmarkEnd w:id="0"/>
    <w:p w14:paraId="4FEABFEE">
      <w:pPr>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4BE17E-9D77-48D9-A12C-0A5C8536EF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220E497-221E-4938-8CFF-225BF1816C50}"/>
  </w:font>
  <w:font w:name="FZXBSJW--GB1-0">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34A67371-D364-4A1A-88CE-547F9A712564}"/>
  </w:font>
  <w:font w:name="WPSEMBED15">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4D66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1530">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39193">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B308">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C985F">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9FDD8">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065"/>
    <w:rsid w:val="00071D70"/>
    <w:rsid w:val="0007410F"/>
    <w:rsid w:val="001041A8"/>
    <w:rsid w:val="00113137"/>
    <w:rsid w:val="001203A4"/>
    <w:rsid w:val="0014130B"/>
    <w:rsid w:val="00142DEF"/>
    <w:rsid w:val="001807F2"/>
    <w:rsid w:val="002170C7"/>
    <w:rsid w:val="00245A6A"/>
    <w:rsid w:val="002460BA"/>
    <w:rsid w:val="00273273"/>
    <w:rsid w:val="002748C1"/>
    <w:rsid w:val="002902DE"/>
    <w:rsid w:val="002F1204"/>
    <w:rsid w:val="00344554"/>
    <w:rsid w:val="00362BD5"/>
    <w:rsid w:val="003775D8"/>
    <w:rsid w:val="003F6A79"/>
    <w:rsid w:val="0042346E"/>
    <w:rsid w:val="004663EC"/>
    <w:rsid w:val="0048389A"/>
    <w:rsid w:val="004D5807"/>
    <w:rsid w:val="004D7A0B"/>
    <w:rsid w:val="004F2587"/>
    <w:rsid w:val="00502065"/>
    <w:rsid w:val="00536DFE"/>
    <w:rsid w:val="00572856"/>
    <w:rsid w:val="005D5DBE"/>
    <w:rsid w:val="005F71A3"/>
    <w:rsid w:val="00662789"/>
    <w:rsid w:val="0067321F"/>
    <w:rsid w:val="006A5AE3"/>
    <w:rsid w:val="006B182D"/>
    <w:rsid w:val="00751C9A"/>
    <w:rsid w:val="00784022"/>
    <w:rsid w:val="00784BCF"/>
    <w:rsid w:val="007D0AEB"/>
    <w:rsid w:val="00923E9B"/>
    <w:rsid w:val="00936A13"/>
    <w:rsid w:val="009F6DE8"/>
    <w:rsid w:val="00A245DF"/>
    <w:rsid w:val="00A54558"/>
    <w:rsid w:val="00A649D5"/>
    <w:rsid w:val="00A91FE1"/>
    <w:rsid w:val="00AB2E62"/>
    <w:rsid w:val="00AE6380"/>
    <w:rsid w:val="00AF493A"/>
    <w:rsid w:val="00B3602E"/>
    <w:rsid w:val="00B40760"/>
    <w:rsid w:val="00B572EF"/>
    <w:rsid w:val="00B67606"/>
    <w:rsid w:val="00BB5945"/>
    <w:rsid w:val="00BC0226"/>
    <w:rsid w:val="00BD3BA9"/>
    <w:rsid w:val="00BE4015"/>
    <w:rsid w:val="00BF0193"/>
    <w:rsid w:val="00BF3736"/>
    <w:rsid w:val="00C05F4E"/>
    <w:rsid w:val="00C33672"/>
    <w:rsid w:val="00C9113F"/>
    <w:rsid w:val="00CB209E"/>
    <w:rsid w:val="00CE753A"/>
    <w:rsid w:val="00CF04F8"/>
    <w:rsid w:val="00D27A6E"/>
    <w:rsid w:val="00D36EEE"/>
    <w:rsid w:val="00D44A63"/>
    <w:rsid w:val="00D93641"/>
    <w:rsid w:val="00D97A10"/>
    <w:rsid w:val="00E34F8C"/>
    <w:rsid w:val="00E43337"/>
    <w:rsid w:val="00E72F71"/>
    <w:rsid w:val="00E7561F"/>
    <w:rsid w:val="00E959E5"/>
    <w:rsid w:val="00EB4751"/>
    <w:rsid w:val="00F02B84"/>
    <w:rsid w:val="00F13A60"/>
    <w:rsid w:val="00F67327"/>
    <w:rsid w:val="00FF6138"/>
    <w:rsid w:val="01BD17FD"/>
    <w:rsid w:val="01FD2E33"/>
    <w:rsid w:val="059C3DB6"/>
    <w:rsid w:val="07506C6F"/>
    <w:rsid w:val="085F31BC"/>
    <w:rsid w:val="0900542F"/>
    <w:rsid w:val="0AEA7CE8"/>
    <w:rsid w:val="0C6321F6"/>
    <w:rsid w:val="0E3E2E53"/>
    <w:rsid w:val="11390774"/>
    <w:rsid w:val="127E265B"/>
    <w:rsid w:val="190D49C0"/>
    <w:rsid w:val="1B4A304E"/>
    <w:rsid w:val="1C9338F9"/>
    <w:rsid w:val="1E5544CE"/>
    <w:rsid w:val="1E9D0606"/>
    <w:rsid w:val="202210F2"/>
    <w:rsid w:val="24773635"/>
    <w:rsid w:val="24F86D9A"/>
    <w:rsid w:val="25730360"/>
    <w:rsid w:val="257E6B33"/>
    <w:rsid w:val="2668781C"/>
    <w:rsid w:val="2BD80E5D"/>
    <w:rsid w:val="2E0028ED"/>
    <w:rsid w:val="2FC573D2"/>
    <w:rsid w:val="30E520DC"/>
    <w:rsid w:val="3124576D"/>
    <w:rsid w:val="319A7BD1"/>
    <w:rsid w:val="33835B53"/>
    <w:rsid w:val="359D14DB"/>
    <w:rsid w:val="398604A7"/>
    <w:rsid w:val="39BD2A73"/>
    <w:rsid w:val="446C7298"/>
    <w:rsid w:val="45616D7B"/>
    <w:rsid w:val="4672391C"/>
    <w:rsid w:val="479C6D8B"/>
    <w:rsid w:val="51EA395C"/>
    <w:rsid w:val="543C5C86"/>
    <w:rsid w:val="55326F81"/>
    <w:rsid w:val="55901489"/>
    <w:rsid w:val="55A41C2D"/>
    <w:rsid w:val="58022C3B"/>
    <w:rsid w:val="5A4F5EDF"/>
    <w:rsid w:val="5B3045E8"/>
    <w:rsid w:val="5D431D2B"/>
    <w:rsid w:val="5DB76275"/>
    <w:rsid w:val="694D5CE0"/>
    <w:rsid w:val="6A704D8B"/>
    <w:rsid w:val="6B8E3F3C"/>
    <w:rsid w:val="6D1C60F5"/>
    <w:rsid w:val="71D14EC8"/>
    <w:rsid w:val="759D3066"/>
    <w:rsid w:val="762322A2"/>
    <w:rsid w:val="7636280D"/>
    <w:rsid w:val="77804800"/>
    <w:rsid w:val="77F474AF"/>
    <w:rsid w:val="7CB92368"/>
    <w:rsid w:val="7D0C54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Microsoft China</Company>
  <Pages>2</Pages>
  <Words>2191</Words>
  <Characters>2347</Characters>
  <Lines>22</Lines>
  <Paragraphs>6</Paragraphs>
  <TotalTime>23</TotalTime>
  <ScaleCrop>false</ScaleCrop>
  <LinksUpToDate>false</LinksUpToDate>
  <CharactersWithSpaces>2361</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2024-10-25T02:20:00Z</dcterms:created>
  <dc:creator>lixiang</dc:creator>
  <cp:lastModifiedBy>栾沣</cp:lastModifiedBy>
  <cp:lastPrinted>2026-08-25T09:58:00Z</cp:lastPrinted>
  <dcterms:modified xsi:type="dcterms:W3CDTF">2026-08-28T07:39:00Z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eyJoZGlkIjoiMWMwOTgzNjBiZTI5YmM5MGI2MmZjNDU5YTEyMWU3ZDkiLCJ1c2VySWQiOiIzMDc2NzU4NTYifQ==</vt:lpwstr>
  </property>
  <property fmtid="{D5CDD505-2E9C-101B-9397-08002B2CF9AE}" pid="4" name="ICV">
    <vt:lpwstr>1B13FC454FEE4C73934FE29275667578_13</vt:lpwstr>
  </property>
</Properties>
</file>