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465FA">
      <w:pPr>
        <w:pStyle w:val="14"/>
        <w:rPr>
          <w:rFonts w:hint="eastAsia"/>
          <w:color w:val="000000" w:themeColor="text1"/>
          <w:lang w:val="en-US" w:eastAsia="zh-CN"/>
          <w14:textFill>
            <w14:solidFill>
              <w14:schemeClr w14:val="tx1"/>
            </w14:solidFill>
          </w14:textFill>
        </w:rPr>
      </w:pPr>
    </w:p>
    <w:p w14:paraId="45A135EA">
      <w:pPr>
        <w:pStyle w:val="14"/>
        <w:rPr>
          <w:rFonts w:hint="eastAsia"/>
          <w:color w:val="000000" w:themeColor="text1"/>
          <w:lang w:val="en-US" w:eastAsia="zh-CN"/>
          <w14:textFill>
            <w14:solidFill>
              <w14:schemeClr w14:val="tx1"/>
            </w14:solidFill>
          </w14:textFill>
        </w:rPr>
      </w:pPr>
    </w:p>
    <w:p w14:paraId="1A05561D">
      <w:pPr>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0" w:name="_Toc24460"/>
      <w:bookmarkStart w:id="1" w:name="_Toc32603"/>
      <w:bookmarkStart w:id="2" w:name="_Toc4234"/>
      <w:bookmarkStart w:id="3" w:name="_Toc5690"/>
      <w:bookmarkStart w:id="4" w:name="_Toc12013"/>
      <w:bookmarkStart w:id="5" w:name="_Toc13948"/>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青山冶金青山区23街坊建设工程总承包（epc）项目“11·3”一般高处坠落安全事故</w:t>
      </w:r>
      <w:bookmarkEnd w:id="0"/>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调查</w:t>
      </w:r>
      <w:bookmarkEnd w:id="1"/>
      <w:bookmarkEnd w:id="2"/>
      <w:bookmarkEnd w:id="3"/>
    </w:p>
    <w:p w14:paraId="7B9C8A76">
      <w:pPr>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6" w:name="_Toc16380"/>
      <w:bookmarkStart w:id="7" w:name="_Toc3869"/>
      <w:bookmarkStart w:id="8" w:name="_Toc30922"/>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报  告</w:t>
      </w:r>
      <w:bookmarkEnd w:id="4"/>
      <w:bookmarkEnd w:id="5"/>
      <w:bookmarkEnd w:id="6"/>
      <w:bookmarkEnd w:id="7"/>
      <w:bookmarkEnd w:id="8"/>
    </w:p>
    <w:p w14:paraId="194DE3B7">
      <w:pPr>
        <w:pStyle w:val="14"/>
        <w:rPr>
          <w:rFonts w:hint="eastAsia"/>
          <w:lang w:val="en-US" w:eastAsia="zh-CN"/>
        </w:rPr>
      </w:pPr>
    </w:p>
    <w:p w14:paraId="244C3971">
      <w:pPr>
        <w:pStyle w:val="14"/>
        <w:rPr>
          <w:rFonts w:hint="eastAsia"/>
          <w:lang w:val="en-US" w:eastAsia="zh-CN"/>
        </w:rPr>
      </w:pPr>
    </w:p>
    <w:p w14:paraId="2811C9D4">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6D183431">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03CCE4F5">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5C17912E">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31891CEF">
      <w:pPr>
        <w:jc w:val="both"/>
        <w:rPr>
          <w:rFonts w:hint="eastAsia" w:ascii="宋体" w:hAnsi="宋体" w:eastAsia="宋体" w:cs="宋体"/>
          <w:b/>
          <w:bCs/>
          <w:color w:val="000000" w:themeColor="text1"/>
          <w:sz w:val="48"/>
          <w:szCs w:val="48"/>
          <w:lang w:val="en-US" w:eastAsia="zh-CN"/>
          <w14:textFill>
            <w14:solidFill>
              <w14:schemeClr w14:val="tx1"/>
            </w14:solidFill>
          </w14:textFill>
        </w:rPr>
      </w:pPr>
    </w:p>
    <w:p w14:paraId="5CA99369">
      <w:pPr>
        <w:pStyle w:val="14"/>
        <w:ind w:left="0" w:leftChars="0" w:firstLine="0" w:firstLineChars="0"/>
        <w:rPr>
          <w:rFonts w:hint="eastAsia" w:ascii="宋体" w:hAnsi="宋体" w:eastAsia="宋体" w:cs="宋体"/>
          <w:b/>
          <w:bCs/>
          <w:color w:val="000000" w:themeColor="text1"/>
          <w:sz w:val="48"/>
          <w:szCs w:val="48"/>
          <w:lang w:val="en-US" w:eastAsia="zh-CN"/>
          <w14:textFill>
            <w14:solidFill>
              <w14:schemeClr w14:val="tx1"/>
            </w14:solidFill>
          </w14:textFill>
        </w:rPr>
      </w:pPr>
    </w:p>
    <w:p w14:paraId="3236F7AF">
      <w:pPr>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14:paraId="1C196417">
      <w:pPr>
        <w:pStyle w:val="14"/>
        <w:rPr>
          <w:rFonts w:hint="eastAsia"/>
          <w:lang w:val="en-US" w:eastAsia="zh-CN"/>
        </w:rPr>
      </w:pPr>
    </w:p>
    <w:p w14:paraId="38199E06">
      <w:pPr>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476F1BD2">
      <w:pPr>
        <w:jc w:val="cente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sectPr>
          <w:footerReference r:id="rId4" w:type="default"/>
          <w:pgSz w:w="11906" w:h="16838"/>
          <w:pgMar w:top="2098" w:right="1474" w:bottom="1984" w:left="1587" w:header="851" w:footer="992" w:gutter="0"/>
          <w:pgNumType w:fmt="decimal" w:start="1"/>
          <w:cols w:space="425" w:num="1"/>
          <w:docGrid w:type="lines" w:linePitch="312" w:charSpace="0"/>
        </w:sect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青山区“</w:t>
      </w:r>
      <w:r>
        <w:rPr>
          <w:rFonts w:hint="eastAsia" w:ascii="宋体" w:hAnsi="宋体" w:eastAsia="宋体" w:cs="宋体"/>
          <w:b w:val="0"/>
          <w:bCs w:val="0"/>
          <w:color w:val="000000" w:themeColor="text1"/>
          <w:sz w:val="32"/>
          <w:szCs w:val="32"/>
          <w:lang w:val="en-US" w:eastAsia="zh-CN"/>
          <w14:textFill>
            <w14:solidFill>
              <w14:schemeClr w14:val="tx1"/>
            </w14:solidFill>
          </w14:textFill>
        </w:rPr>
        <w:t>11·3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”一般高处坠落安全事故调查组</w:t>
      </w:r>
    </w:p>
    <w:sdt>
      <w:sdtPr>
        <w:rPr>
          <w:rFonts w:ascii="宋体" w:hAnsi="宋体" w:eastAsia="宋体" w:cstheme="minorBidi"/>
          <w:kern w:val="2"/>
          <w:sz w:val="32"/>
          <w:szCs w:val="32"/>
          <w:lang w:val="en-US" w:eastAsia="zh-CN" w:bidi="ar-SA"/>
        </w:rPr>
        <w:id w:val="147479846"/>
        <w15:color w:val="DBDBDB"/>
        <w:docPartObj>
          <w:docPartGallery w:val="Table of Contents"/>
          <w:docPartUnique/>
        </w:docPartObj>
      </w:sdtPr>
      <w:sdtEndPr>
        <w:rPr>
          <w:rFonts w:ascii="宋体" w:hAnsi="宋体" w:eastAsia="宋体" w:cstheme="minorBidi"/>
          <w:b/>
          <w:kern w:val="2"/>
          <w:sz w:val="24"/>
          <w:szCs w:val="24"/>
          <w:lang w:val="en-US" w:eastAsia="zh-CN" w:bidi="ar-SA"/>
        </w:rPr>
      </w:sdtEndPr>
      <w:sdtContent>
        <w:p w14:paraId="4AA7BAB1">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Theme="minorHAnsi" w:hAnsiTheme="minorHAnsi" w:eastAsiaTheme="minorEastAsia" w:cstheme="minorBidi"/>
              <w:kern w:val="2"/>
              <w:sz w:val="24"/>
              <w:szCs w:val="24"/>
              <w:lang w:val="en-US" w:eastAsia="zh-CN" w:bidi="ar-SA"/>
            </w:rPr>
          </w:pPr>
          <w:r>
            <w:rPr>
              <w:rFonts w:hint="eastAsia" w:ascii="宋体" w:hAnsi="宋体" w:eastAsia="宋体" w:cs="宋体"/>
              <w:b/>
              <w:bCs/>
              <w:sz w:val="32"/>
              <w:szCs w:val="32"/>
            </w:rPr>
            <w:t>目</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录</w:t>
          </w:r>
          <w:r>
            <w:rPr>
              <w:sz w:val="24"/>
              <w:szCs w:val="24"/>
            </w:rPr>
            <w:fldChar w:fldCharType="begin"/>
          </w:r>
          <w:r>
            <w:rPr>
              <w:sz w:val="24"/>
              <w:szCs w:val="24"/>
            </w:rPr>
            <w:instrText xml:space="preserve">TOC \o "1-2" \h \u </w:instrText>
          </w:r>
          <w:r>
            <w:rPr>
              <w:sz w:val="24"/>
              <w:szCs w:val="24"/>
            </w:rPr>
            <w:fldChar w:fldCharType="separate"/>
          </w:r>
        </w:p>
        <w:p w14:paraId="528681CD">
          <w:pPr>
            <w:pStyle w:val="6"/>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_Toc9221 </w:instrText>
          </w:r>
          <w:r>
            <w:rPr>
              <w:sz w:val="24"/>
              <w:szCs w:val="24"/>
            </w:rPr>
            <w:fldChar w:fldCharType="separate"/>
          </w:r>
          <w:r>
            <w:rPr>
              <w:rFonts w:hint="eastAsia" w:ascii="黑体" w:hAnsi="黑体" w:eastAsia="黑体" w:cs="黑体"/>
              <w:sz w:val="24"/>
              <w:szCs w:val="24"/>
              <w:lang w:val="en-US" w:eastAsia="zh-CN"/>
            </w:rPr>
            <w:t>一、事故基本情况</w:t>
          </w:r>
          <w:r>
            <w:rPr>
              <w:sz w:val="24"/>
              <w:szCs w:val="24"/>
            </w:rPr>
            <w:tab/>
          </w:r>
          <w:r>
            <w:rPr>
              <w:sz w:val="24"/>
              <w:szCs w:val="24"/>
            </w:rPr>
            <w:fldChar w:fldCharType="begin"/>
          </w:r>
          <w:r>
            <w:rPr>
              <w:sz w:val="24"/>
              <w:szCs w:val="24"/>
            </w:rPr>
            <w:instrText xml:space="preserve"> PAGEREF _Toc9221 \h </w:instrText>
          </w:r>
          <w:r>
            <w:rPr>
              <w:sz w:val="24"/>
              <w:szCs w:val="24"/>
            </w:rPr>
            <w:fldChar w:fldCharType="separate"/>
          </w:r>
          <w:r>
            <w:rPr>
              <w:sz w:val="24"/>
              <w:szCs w:val="24"/>
            </w:rPr>
            <w:t>2</w:t>
          </w:r>
          <w:r>
            <w:rPr>
              <w:sz w:val="24"/>
              <w:szCs w:val="24"/>
            </w:rPr>
            <w:fldChar w:fldCharType="end"/>
          </w:r>
          <w:r>
            <w:rPr>
              <w:sz w:val="24"/>
              <w:szCs w:val="24"/>
            </w:rPr>
            <w:fldChar w:fldCharType="end"/>
          </w:r>
        </w:p>
        <w:p w14:paraId="2B688653">
          <w:pPr>
            <w:pStyle w:val="8"/>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_Toc22053 </w:instrText>
          </w:r>
          <w:r>
            <w:rPr>
              <w:sz w:val="24"/>
              <w:szCs w:val="24"/>
            </w:rPr>
            <w:fldChar w:fldCharType="separate"/>
          </w:r>
          <w:r>
            <w:rPr>
              <w:rFonts w:hint="eastAsia" w:ascii="楷体_GB2312" w:hAnsi="楷体_GB2312" w:eastAsia="楷体_GB2312" w:cs="楷体_GB2312"/>
              <w:bCs/>
              <w:sz w:val="24"/>
              <w:szCs w:val="24"/>
              <w:lang w:val="en-US" w:eastAsia="zh-CN"/>
            </w:rPr>
            <w:t>（一）事故发生单位及相关单位概况</w:t>
          </w:r>
          <w:r>
            <w:rPr>
              <w:sz w:val="24"/>
              <w:szCs w:val="24"/>
            </w:rPr>
            <w:tab/>
          </w:r>
          <w:r>
            <w:rPr>
              <w:sz w:val="24"/>
              <w:szCs w:val="24"/>
            </w:rPr>
            <w:fldChar w:fldCharType="begin"/>
          </w:r>
          <w:r>
            <w:rPr>
              <w:sz w:val="24"/>
              <w:szCs w:val="24"/>
            </w:rPr>
            <w:instrText xml:space="preserve"> PAGEREF _Toc22053 \h </w:instrText>
          </w:r>
          <w:r>
            <w:rPr>
              <w:sz w:val="24"/>
              <w:szCs w:val="24"/>
            </w:rPr>
            <w:fldChar w:fldCharType="separate"/>
          </w:r>
          <w:r>
            <w:rPr>
              <w:sz w:val="24"/>
              <w:szCs w:val="24"/>
            </w:rPr>
            <w:t>2</w:t>
          </w:r>
          <w:r>
            <w:rPr>
              <w:sz w:val="24"/>
              <w:szCs w:val="24"/>
            </w:rPr>
            <w:fldChar w:fldCharType="end"/>
          </w:r>
          <w:r>
            <w:rPr>
              <w:sz w:val="24"/>
              <w:szCs w:val="24"/>
            </w:rPr>
            <w:fldChar w:fldCharType="end"/>
          </w:r>
        </w:p>
        <w:p w14:paraId="1EE37CBE">
          <w:pPr>
            <w:pStyle w:val="8"/>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_Toc16330 </w:instrText>
          </w:r>
          <w:r>
            <w:rPr>
              <w:sz w:val="24"/>
              <w:szCs w:val="24"/>
            </w:rPr>
            <w:fldChar w:fldCharType="separate"/>
          </w:r>
          <w:r>
            <w:rPr>
              <w:rFonts w:hint="eastAsia" w:ascii="楷体_GB2312" w:hAnsi="楷体_GB2312" w:eastAsia="楷体_GB2312" w:cs="楷体_GB2312"/>
              <w:bCs/>
              <w:sz w:val="24"/>
              <w:szCs w:val="24"/>
              <w:lang w:val="en-US" w:eastAsia="zh-CN"/>
            </w:rPr>
            <w:t>（二）事故项目基本情况</w:t>
          </w:r>
          <w:r>
            <w:rPr>
              <w:sz w:val="24"/>
              <w:szCs w:val="24"/>
            </w:rPr>
            <w:tab/>
          </w:r>
          <w:r>
            <w:rPr>
              <w:sz w:val="24"/>
              <w:szCs w:val="24"/>
            </w:rPr>
            <w:fldChar w:fldCharType="begin"/>
          </w:r>
          <w:r>
            <w:rPr>
              <w:sz w:val="24"/>
              <w:szCs w:val="24"/>
            </w:rPr>
            <w:instrText xml:space="preserve"> PAGEREF _Toc16330 \h </w:instrText>
          </w:r>
          <w:r>
            <w:rPr>
              <w:sz w:val="24"/>
              <w:szCs w:val="24"/>
            </w:rPr>
            <w:fldChar w:fldCharType="separate"/>
          </w:r>
          <w:r>
            <w:rPr>
              <w:sz w:val="24"/>
              <w:szCs w:val="24"/>
            </w:rPr>
            <w:t>3</w:t>
          </w:r>
          <w:r>
            <w:rPr>
              <w:sz w:val="24"/>
              <w:szCs w:val="24"/>
            </w:rPr>
            <w:fldChar w:fldCharType="end"/>
          </w:r>
          <w:r>
            <w:rPr>
              <w:sz w:val="24"/>
              <w:szCs w:val="24"/>
            </w:rPr>
            <w:fldChar w:fldCharType="end"/>
          </w:r>
        </w:p>
        <w:p w14:paraId="68B34429">
          <w:pPr>
            <w:pStyle w:val="8"/>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_Toc25184 </w:instrText>
          </w:r>
          <w:r>
            <w:rPr>
              <w:sz w:val="24"/>
              <w:szCs w:val="24"/>
            </w:rPr>
            <w:fldChar w:fldCharType="separate"/>
          </w:r>
          <w:r>
            <w:rPr>
              <w:rFonts w:hint="eastAsia" w:ascii="楷体_GB2312" w:hAnsi="楷体_GB2312" w:eastAsia="楷体_GB2312" w:cs="楷体_GB2312"/>
              <w:bCs/>
              <w:sz w:val="24"/>
              <w:szCs w:val="24"/>
              <w:lang w:val="en-US" w:eastAsia="zh-CN"/>
            </w:rPr>
            <w:t>（三）事故发生单位安全管理情况</w:t>
          </w:r>
          <w:r>
            <w:rPr>
              <w:sz w:val="24"/>
              <w:szCs w:val="24"/>
            </w:rPr>
            <w:tab/>
          </w:r>
          <w:r>
            <w:rPr>
              <w:sz w:val="24"/>
              <w:szCs w:val="24"/>
            </w:rPr>
            <w:fldChar w:fldCharType="begin"/>
          </w:r>
          <w:r>
            <w:rPr>
              <w:sz w:val="24"/>
              <w:szCs w:val="24"/>
            </w:rPr>
            <w:instrText xml:space="preserve"> PAGEREF _Toc25184 \h </w:instrText>
          </w:r>
          <w:r>
            <w:rPr>
              <w:sz w:val="24"/>
              <w:szCs w:val="24"/>
            </w:rPr>
            <w:fldChar w:fldCharType="separate"/>
          </w:r>
          <w:r>
            <w:rPr>
              <w:sz w:val="24"/>
              <w:szCs w:val="24"/>
            </w:rPr>
            <w:t>4</w:t>
          </w:r>
          <w:r>
            <w:rPr>
              <w:sz w:val="24"/>
              <w:szCs w:val="24"/>
            </w:rPr>
            <w:fldChar w:fldCharType="end"/>
          </w:r>
          <w:r>
            <w:rPr>
              <w:sz w:val="24"/>
              <w:szCs w:val="24"/>
            </w:rPr>
            <w:fldChar w:fldCharType="end"/>
          </w:r>
        </w:p>
        <w:p w14:paraId="19A72214">
          <w:pPr>
            <w:pStyle w:val="8"/>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_Toc23397 </w:instrText>
          </w:r>
          <w:r>
            <w:rPr>
              <w:sz w:val="24"/>
              <w:szCs w:val="24"/>
            </w:rPr>
            <w:fldChar w:fldCharType="separate"/>
          </w:r>
          <w:r>
            <w:rPr>
              <w:rFonts w:hint="eastAsia" w:ascii="楷体_GB2312" w:hAnsi="楷体_GB2312" w:eastAsia="楷体_GB2312" w:cs="楷体_GB2312"/>
              <w:bCs/>
              <w:sz w:val="24"/>
              <w:szCs w:val="24"/>
              <w:lang w:val="en-US" w:eastAsia="zh-CN"/>
            </w:rPr>
            <w:t>（四）事故发生经过</w:t>
          </w:r>
          <w:r>
            <w:rPr>
              <w:sz w:val="24"/>
              <w:szCs w:val="24"/>
            </w:rPr>
            <w:tab/>
          </w:r>
          <w:r>
            <w:rPr>
              <w:sz w:val="24"/>
              <w:szCs w:val="24"/>
            </w:rPr>
            <w:fldChar w:fldCharType="begin"/>
          </w:r>
          <w:r>
            <w:rPr>
              <w:sz w:val="24"/>
              <w:szCs w:val="24"/>
            </w:rPr>
            <w:instrText xml:space="preserve"> PAGEREF _Toc23397 \h </w:instrText>
          </w:r>
          <w:r>
            <w:rPr>
              <w:sz w:val="24"/>
              <w:szCs w:val="24"/>
            </w:rPr>
            <w:fldChar w:fldCharType="separate"/>
          </w:r>
          <w:r>
            <w:rPr>
              <w:sz w:val="24"/>
              <w:szCs w:val="24"/>
            </w:rPr>
            <w:t>4</w:t>
          </w:r>
          <w:r>
            <w:rPr>
              <w:sz w:val="24"/>
              <w:szCs w:val="24"/>
            </w:rPr>
            <w:fldChar w:fldCharType="end"/>
          </w:r>
          <w:r>
            <w:rPr>
              <w:sz w:val="24"/>
              <w:szCs w:val="24"/>
            </w:rPr>
            <w:fldChar w:fldCharType="end"/>
          </w:r>
        </w:p>
        <w:p w14:paraId="63908CD4">
          <w:pPr>
            <w:pStyle w:val="8"/>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_Toc13400 </w:instrText>
          </w:r>
          <w:r>
            <w:rPr>
              <w:sz w:val="24"/>
              <w:szCs w:val="24"/>
            </w:rPr>
            <w:fldChar w:fldCharType="separate"/>
          </w:r>
          <w:r>
            <w:rPr>
              <w:rFonts w:hint="eastAsia" w:ascii="楷体_GB2312" w:hAnsi="楷体_GB2312" w:eastAsia="楷体_GB2312" w:cs="楷体_GB2312"/>
              <w:bCs/>
              <w:sz w:val="24"/>
              <w:szCs w:val="24"/>
              <w:lang w:val="en-US" w:eastAsia="zh-CN"/>
            </w:rPr>
            <w:t>（五）事故现场情况</w:t>
          </w:r>
          <w:r>
            <w:rPr>
              <w:sz w:val="24"/>
              <w:szCs w:val="24"/>
            </w:rPr>
            <w:tab/>
          </w:r>
          <w:r>
            <w:rPr>
              <w:sz w:val="24"/>
              <w:szCs w:val="24"/>
            </w:rPr>
            <w:fldChar w:fldCharType="begin"/>
          </w:r>
          <w:r>
            <w:rPr>
              <w:sz w:val="24"/>
              <w:szCs w:val="24"/>
            </w:rPr>
            <w:instrText xml:space="preserve"> PAGEREF _Toc13400 \h </w:instrText>
          </w:r>
          <w:r>
            <w:rPr>
              <w:sz w:val="24"/>
              <w:szCs w:val="24"/>
            </w:rPr>
            <w:fldChar w:fldCharType="separate"/>
          </w:r>
          <w:r>
            <w:rPr>
              <w:sz w:val="24"/>
              <w:szCs w:val="24"/>
            </w:rPr>
            <w:t>5</w:t>
          </w:r>
          <w:r>
            <w:rPr>
              <w:sz w:val="24"/>
              <w:szCs w:val="24"/>
            </w:rPr>
            <w:fldChar w:fldCharType="end"/>
          </w:r>
          <w:r>
            <w:rPr>
              <w:sz w:val="24"/>
              <w:szCs w:val="24"/>
            </w:rPr>
            <w:fldChar w:fldCharType="end"/>
          </w:r>
        </w:p>
        <w:p w14:paraId="18C435EA">
          <w:pPr>
            <w:pStyle w:val="8"/>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_Toc9734 </w:instrText>
          </w:r>
          <w:r>
            <w:rPr>
              <w:sz w:val="24"/>
              <w:szCs w:val="24"/>
            </w:rPr>
            <w:fldChar w:fldCharType="separate"/>
          </w:r>
          <w:r>
            <w:rPr>
              <w:rFonts w:hint="eastAsia" w:ascii="楷体_GB2312" w:hAnsi="楷体_GB2312" w:eastAsia="楷体_GB2312" w:cs="楷体_GB2312"/>
              <w:bCs/>
              <w:sz w:val="24"/>
              <w:szCs w:val="24"/>
              <w:lang w:val="en-US" w:eastAsia="zh-CN"/>
            </w:rPr>
            <w:t>（六）人员伤亡和直接经济损失情况</w:t>
          </w:r>
          <w:r>
            <w:rPr>
              <w:sz w:val="24"/>
              <w:szCs w:val="24"/>
            </w:rPr>
            <w:tab/>
          </w:r>
          <w:r>
            <w:rPr>
              <w:sz w:val="24"/>
              <w:szCs w:val="24"/>
            </w:rPr>
            <w:fldChar w:fldCharType="begin"/>
          </w:r>
          <w:r>
            <w:rPr>
              <w:sz w:val="24"/>
              <w:szCs w:val="24"/>
            </w:rPr>
            <w:instrText xml:space="preserve"> PAGEREF _Toc9734 \h </w:instrText>
          </w:r>
          <w:r>
            <w:rPr>
              <w:sz w:val="24"/>
              <w:szCs w:val="24"/>
            </w:rPr>
            <w:fldChar w:fldCharType="separate"/>
          </w:r>
          <w:r>
            <w:rPr>
              <w:sz w:val="24"/>
              <w:szCs w:val="24"/>
            </w:rPr>
            <w:t>7</w:t>
          </w:r>
          <w:r>
            <w:rPr>
              <w:sz w:val="24"/>
              <w:szCs w:val="24"/>
            </w:rPr>
            <w:fldChar w:fldCharType="end"/>
          </w:r>
          <w:r>
            <w:rPr>
              <w:sz w:val="24"/>
              <w:szCs w:val="24"/>
            </w:rPr>
            <w:fldChar w:fldCharType="end"/>
          </w:r>
        </w:p>
        <w:p w14:paraId="653C7C4D">
          <w:pPr>
            <w:pStyle w:val="8"/>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_Toc13458 </w:instrText>
          </w:r>
          <w:r>
            <w:rPr>
              <w:sz w:val="24"/>
              <w:szCs w:val="24"/>
            </w:rPr>
            <w:fldChar w:fldCharType="separate"/>
          </w:r>
          <w:r>
            <w:rPr>
              <w:rFonts w:hint="eastAsia" w:ascii="楷体_GB2312" w:hAnsi="楷体_GB2312" w:eastAsia="楷体_GB2312" w:cs="楷体_GB2312"/>
              <w:bCs/>
              <w:sz w:val="24"/>
              <w:szCs w:val="24"/>
              <w:lang w:val="en-US" w:eastAsia="zh-CN"/>
            </w:rPr>
            <w:t>（七）其他情况</w:t>
          </w:r>
          <w:r>
            <w:rPr>
              <w:sz w:val="24"/>
              <w:szCs w:val="24"/>
            </w:rPr>
            <w:tab/>
          </w:r>
          <w:r>
            <w:rPr>
              <w:sz w:val="24"/>
              <w:szCs w:val="24"/>
            </w:rPr>
            <w:fldChar w:fldCharType="begin"/>
          </w:r>
          <w:r>
            <w:rPr>
              <w:sz w:val="24"/>
              <w:szCs w:val="24"/>
            </w:rPr>
            <w:instrText xml:space="preserve"> PAGEREF _Toc13458 \h </w:instrText>
          </w:r>
          <w:r>
            <w:rPr>
              <w:sz w:val="24"/>
              <w:szCs w:val="24"/>
            </w:rPr>
            <w:fldChar w:fldCharType="separate"/>
          </w:r>
          <w:r>
            <w:rPr>
              <w:sz w:val="24"/>
              <w:szCs w:val="24"/>
            </w:rPr>
            <w:t>7</w:t>
          </w:r>
          <w:r>
            <w:rPr>
              <w:sz w:val="24"/>
              <w:szCs w:val="24"/>
            </w:rPr>
            <w:fldChar w:fldCharType="end"/>
          </w:r>
          <w:r>
            <w:rPr>
              <w:sz w:val="24"/>
              <w:szCs w:val="24"/>
            </w:rPr>
            <w:fldChar w:fldCharType="end"/>
          </w:r>
        </w:p>
        <w:p w14:paraId="63E6212A">
          <w:pPr>
            <w:pStyle w:val="6"/>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_Toc21464 </w:instrText>
          </w:r>
          <w:r>
            <w:rPr>
              <w:sz w:val="24"/>
              <w:szCs w:val="24"/>
            </w:rPr>
            <w:fldChar w:fldCharType="separate"/>
          </w:r>
          <w:r>
            <w:rPr>
              <w:rFonts w:hint="eastAsia" w:ascii="黑体" w:hAnsi="黑体" w:eastAsia="黑体" w:cs="黑体"/>
              <w:sz w:val="24"/>
              <w:szCs w:val="24"/>
              <w:lang w:val="en-US" w:eastAsia="zh-CN"/>
            </w:rPr>
            <w:t>二、事故应急处置及评估情况</w:t>
          </w:r>
          <w:r>
            <w:rPr>
              <w:sz w:val="24"/>
              <w:szCs w:val="24"/>
            </w:rPr>
            <w:tab/>
          </w:r>
          <w:r>
            <w:rPr>
              <w:sz w:val="24"/>
              <w:szCs w:val="24"/>
            </w:rPr>
            <w:fldChar w:fldCharType="begin"/>
          </w:r>
          <w:r>
            <w:rPr>
              <w:sz w:val="24"/>
              <w:szCs w:val="24"/>
            </w:rPr>
            <w:instrText xml:space="preserve"> PAGEREF _Toc21464 \h </w:instrText>
          </w:r>
          <w:r>
            <w:rPr>
              <w:sz w:val="24"/>
              <w:szCs w:val="24"/>
            </w:rPr>
            <w:fldChar w:fldCharType="separate"/>
          </w:r>
          <w:r>
            <w:rPr>
              <w:sz w:val="24"/>
              <w:szCs w:val="24"/>
            </w:rPr>
            <w:t>7</w:t>
          </w:r>
          <w:r>
            <w:rPr>
              <w:sz w:val="24"/>
              <w:szCs w:val="24"/>
            </w:rPr>
            <w:fldChar w:fldCharType="end"/>
          </w:r>
          <w:r>
            <w:rPr>
              <w:sz w:val="24"/>
              <w:szCs w:val="24"/>
            </w:rPr>
            <w:fldChar w:fldCharType="end"/>
          </w:r>
        </w:p>
        <w:p w14:paraId="77178BF2">
          <w:pPr>
            <w:pStyle w:val="8"/>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_Toc9656 </w:instrText>
          </w:r>
          <w:r>
            <w:rPr>
              <w:sz w:val="24"/>
              <w:szCs w:val="24"/>
            </w:rPr>
            <w:fldChar w:fldCharType="separate"/>
          </w:r>
          <w:r>
            <w:rPr>
              <w:rFonts w:hint="eastAsia" w:ascii="楷体_GB2312" w:hAnsi="楷体_GB2312" w:eastAsia="楷体_GB2312" w:cs="楷体_GB2312"/>
              <w:bCs/>
              <w:sz w:val="24"/>
              <w:szCs w:val="24"/>
              <w:lang w:val="en-US" w:eastAsia="zh-CN"/>
            </w:rPr>
            <w:t>（一）事故信息接报及响应情况</w:t>
          </w:r>
          <w:r>
            <w:rPr>
              <w:sz w:val="24"/>
              <w:szCs w:val="24"/>
            </w:rPr>
            <w:tab/>
          </w:r>
          <w:r>
            <w:rPr>
              <w:sz w:val="24"/>
              <w:szCs w:val="24"/>
            </w:rPr>
            <w:fldChar w:fldCharType="begin"/>
          </w:r>
          <w:r>
            <w:rPr>
              <w:sz w:val="24"/>
              <w:szCs w:val="24"/>
            </w:rPr>
            <w:instrText xml:space="preserve"> PAGEREF _Toc9656 \h </w:instrText>
          </w:r>
          <w:r>
            <w:rPr>
              <w:sz w:val="24"/>
              <w:szCs w:val="24"/>
            </w:rPr>
            <w:fldChar w:fldCharType="separate"/>
          </w:r>
          <w:r>
            <w:rPr>
              <w:sz w:val="24"/>
              <w:szCs w:val="24"/>
            </w:rPr>
            <w:t>7</w:t>
          </w:r>
          <w:r>
            <w:rPr>
              <w:sz w:val="24"/>
              <w:szCs w:val="24"/>
            </w:rPr>
            <w:fldChar w:fldCharType="end"/>
          </w:r>
          <w:r>
            <w:rPr>
              <w:sz w:val="24"/>
              <w:szCs w:val="24"/>
            </w:rPr>
            <w:fldChar w:fldCharType="end"/>
          </w:r>
        </w:p>
        <w:p w14:paraId="1CC9B418">
          <w:pPr>
            <w:pStyle w:val="8"/>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_Toc12204 </w:instrText>
          </w:r>
          <w:r>
            <w:rPr>
              <w:sz w:val="24"/>
              <w:szCs w:val="24"/>
            </w:rPr>
            <w:fldChar w:fldCharType="separate"/>
          </w:r>
          <w:r>
            <w:rPr>
              <w:rFonts w:hint="eastAsia" w:ascii="楷体_GB2312" w:hAnsi="楷体_GB2312" w:eastAsia="楷体_GB2312" w:cs="楷体_GB2312"/>
              <w:bCs/>
              <w:sz w:val="24"/>
              <w:szCs w:val="24"/>
              <w:lang w:val="en-US" w:eastAsia="zh-CN"/>
            </w:rPr>
            <w:t>（二）事故现场应急处置情况</w:t>
          </w:r>
          <w:r>
            <w:rPr>
              <w:sz w:val="24"/>
              <w:szCs w:val="24"/>
            </w:rPr>
            <w:tab/>
          </w:r>
          <w:r>
            <w:rPr>
              <w:sz w:val="24"/>
              <w:szCs w:val="24"/>
            </w:rPr>
            <w:fldChar w:fldCharType="begin"/>
          </w:r>
          <w:r>
            <w:rPr>
              <w:sz w:val="24"/>
              <w:szCs w:val="24"/>
            </w:rPr>
            <w:instrText xml:space="preserve"> PAGEREF _Toc12204 \h </w:instrText>
          </w:r>
          <w:r>
            <w:rPr>
              <w:sz w:val="24"/>
              <w:szCs w:val="24"/>
            </w:rPr>
            <w:fldChar w:fldCharType="separate"/>
          </w:r>
          <w:r>
            <w:rPr>
              <w:sz w:val="24"/>
              <w:szCs w:val="24"/>
            </w:rPr>
            <w:t>8</w:t>
          </w:r>
          <w:r>
            <w:rPr>
              <w:sz w:val="24"/>
              <w:szCs w:val="24"/>
            </w:rPr>
            <w:fldChar w:fldCharType="end"/>
          </w:r>
          <w:r>
            <w:rPr>
              <w:sz w:val="24"/>
              <w:szCs w:val="24"/>
            </w:rPr>
            <w:fldChar w:fldCharType="end"/>
          </w:r>
        </w:p>
        <w:p w14:paraId="2B83E960">
          <w:pPr>
            <w:pStyle w:val="8"/>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_Toc1429 </w:instrText>
          </w:r>
          <w:r>
            <w:rPr>
              <w:sz w:val="24"/>
              <w:szCs w:val="24"/>
            </w:rPr>
            <w:fldChar w:fldCharType="separate"/>
          </w:r>
          <w:r>
            <w:rPr>
              <w:rFonts w:hint="eastAsia" w:ascii="楷体_GB2312" w:hAnsi="楷体_GB2312" w:eastAsia="楷体_GB2312" w:cs="楷体_GB2312"/>
              <w:bCs/>
              <w:sz w:val="24"/>
              <w:szCs w:val="24"/>
              <w:lang w:val="en-US" w:eastAsia="zh-CN"/>
            </w:rPr>
            <w:t>（三）事故应急处置评估</w:t>
          </w:r>
          <w:r>
            <w:rPr>
              <w:sz w:val="24"/>
              <w:szCs w:val="24"/>
            </w:rPr>
            <w:tab/>
          </w:r>
          <w:r>
            <w:rPr>
              <w:sz w:val="24"/>
              <w:szCs w:val="24"/>
            </w:rPr>
            <w:fldChar w:fldCharType="begin"/>
          </w:r>
          <w:r>
            <w:rPr>
              <w:sz w:val="24"/>
              <w:szCs w:val="24"/>
            </w:rPr>
            <w:instrText xml:space="preserve"> PAGEREF _Toc1429 \h </w:instrText>
          </w:r>
          <w:r>
            <w:rPr>
              <w:sz w:val="24"/>
              <w:szCs w:val="24"/>
            </w:rPr>
            <w:fldChar w:fldCharType="separate"/>
          </w:r>
          <w:r>
            <w:rPr>
              <w:sz w:val="24"/>
              <w:szCs w:val="24"/>
            </w:rPr>
            <w:t>8</w:t>
          </w:r>
          <w:r>
            <w:rPr>
              <w:sz w:val="24"/>
              <w:szCs w:val="24"/>
            </w:rPr>
            <w:fldChar w:fldCharType="end"/>
          </w:r>
          <w:r>
            <w:rPr>
              <w:sz w:val="24"/>
              <w:szCs w:val="24"/>
            </w:rPr>
            <w:fldChar w:fldCharType="end"/>
          </w:r>
        </w:p>
        <w:p w14:paraId="2AE654C9">
          <w:pPr>
            <w:pStyle w:val="6"/>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_Toc20364 </w:instrText>
          </w:r>
          <w:r>
            <w:rPr>
              <w:sz w:val="24"/>
              <w:szCs w:val="24"/>
            </w:rPr>
            <w:fldChar w:fldCharType="separate"/>
          </w:r>
          <w:r>
            <w:rPr>
              <w:rFonts w:hint="eastAsia" w:ascii="黑体" w:hAnsi="黑体" w:eastAsia="黑体" w:cs="黑体"/>
              <w:sz w:val="24"/>
              <w:szCs w:val="24"/>
              <w:lang w:val="en-US" w:eastAsia="zh-CN"/>
            </w:rPr>
            <w:t>三、事故原因分析</w:t>
          </w:r>
          <w:r>
            <w:rPr>
              <w:sz w:val="24"/>
              <w:szCs w:val="24"/>
            </w:rPr>
            <w:tab/>
          </w:r>
          <w:r>
            <w:rPr>
              <w:sz w:val="24"/>
              <w:szCs w:val="24"/>
            </w:rPr>
            <w:fldChar w:fldCharType="begin"/>
          </w:r>
          <w:r>
            <w:rPr>
              <w:sz w:val="24"/>
              <w:szCs w:val="24"/>
            </w:rPr>
            <w:instrText xml:space="preserve"> PAGEREF _Toc20364 \h </w:instrText>
          </w:r>
          <w:r>
            <w:rPr>
              <w:sz w:val="24"/>
              <w:szCs w:val="24"/>
            </w:rPr>
            <w:fldChar w:fldCharType="separate"/>
          </w:r>
          <w:r>
            <w:rPr>
              <w:sz w:val="24"/>
              <w:szCs w:val="24"/>
            </w:rPr>
            <w:t>8</w:t>
          </w:r>
          <w:r>
            <w:rPr>
              <w:sz w:val="24"/>
              <w:szCs w:val="24"/>
            </w:rPr>
            <w:fldChar w:fldCharType="end"/>
          </w:r>
          <w:r>
            <w:rPr>
              <w:sz w:val="24"/>
              <w:szCs w:val="24"/>
            </w:rPr>
            <w:fldChar w:fldCharType="end"/>
          </w:r>
        </w:p>
        <w:p w14:paraId="4F93A793">
          <w:pPr>
            <w:pStyle w:val="8"/>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_Toc26191 </w:instrText>
          </w:r>
          <w:r>
            <w:rPr>
              <w:sz w:val="24"/>
              <w:szCs w:val="24"/>
            </w:rPr>
            <w:fldChar w:fldCharType="separate"/>
          </w:r>
          <w:r>
            <w:rPr>
              <w:rFonts w:hint="eastAsia" w:ascii="楷体_GB2312" w:hAnsi="楷体_GB2312" w:eastAsia="楷体_GB2312" w:cs="楷体_GB2312"/>
              <w:bCs/>
              <w:sz w:val="24"/>
              <w:szCs w:val="24"/>
              <w:lang w:val="en-US" w:eastAsia="zh-CN"/>
            </w:rPr>
            <w:t>（一）直接原因分析</w:t>
          </w:r>
          <w:r>
            <w:rPr>
              <w:sz w:val="24"/>
              <w:szCs w:val="24"/>
            </w:rPr>
            <w:tab/>
          </w:r>
          <w:r>
            <w:rPr>
              <w:sz w:val="24"/>
              <w:szCs w:val="24"/>
            </w:rPr>
            <w:fldChar w:fldCharType="begin"/>
          </w:r>
          <w:r>
            <w:rPr>
              <w:sz w:val="24"/>
              <w:szCs w:val="24"/>
            </w:rPr>
            <w:instrText xml:space="preserve"> PAGEREF _Toc26191 \h </w:instrText>
          </w:r>
          <w:r>
            <w:rPr>
              <w:sz w:val="24"/>
              <w:szCs w:val="24"/>
            </w:rPr>
            <w:fldChar w:fldCharType="separate"/>
          </w:r>
          <w:r>
            <w:rPr>
              <w:sz w:val="24"/>
              <w:szCs w:val="24"/>
            </w:rPr>
            <w:t>8</w:t>
          </w:r>
          <w:r>
            <w:rPr>
              <w:sz w:val="24"/>
              <w:szCs w:val="24"/>
            </w:rPr>
            <w:fldChar w:fldCharType="end"/>
          </w:r>
          <w:r>
            <w:rPr>
              <w:sz w:val="24"/>
              <w:szCs w:val="24"/>
            </w:rPr>
            <w:fldChar w:fldCharType="end"/>
          </w:r>
        </w:p>
        <w:p w14:paraId="1D65F944">
          <w:pPr>
            <w:pStyle w:val="8"/>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_Toc4865 </w:instrText>
          </w:r>
          <w:r>
            <w:rPr>
              <w:sz w:val="24"/>
              <w:szCs w:val="24"/>
            </w:rPr>
            <w:fldChar w:fldCharType="separate"/>
          </w:r>
          <w:r>
            <w:rPr>
              <w:rFonts w:hint="eastAsia" w:ascii="楷体_GB2312" w:hAnsi="楷体_GB2312" w:eastAsia="楷体_GB2312" w:cs="楷体_GB2312"/>
              <w:bCs/>
              <w:sz w:val="24"/>
              <w:szCs w:val="24"/>
              <w:lang w:val="en-US" w:eastAsia="zh-CN"/>
            </w:rPr>
            <w:t>（二）间接原因分析</w:t>
          </w:r>
          <w:r>
            <w:rPr>
              <w:sz w:val="24"/>
              <w:szCs w:val="24"/>
            </w:rPr>
            <w:tab/>
          </w:r>
          <w:r>
            <w:rPr>
              <w:sz w:val="24"/>
              <w:szCs w:val="24"/>
            </w:rPr>
            <w:fldChar w:fldCharType="begin"/>
          </w:r>
          <w:r>
            <w:rPr>
              <w:sz w:val="24"/>
              <w:szCs w:val="24"/>
            </w:rPr>
            <w:instrText xml:space="preserve"> PAGEREF _Toc4865 \h </w:instrText>
          </w:r>
          <w:r>
            <w:rPr>
              <w:sz w:val="24"/>
              <w:szCs w:val="24"/>
            </w:rPr>
            <w:fldChar w:fldCharType="separate"/>
          </w:r>
          <w:r>
            <w:rPr>
              <w:sz w:val="24"/>
              <w:szCs w:val="24"/>
            </w:rPr>
            <w:t>8</w:t>
          </w:r>
          <w:r>
            <w:rPr>
              <w:sz w:val="24"/>
              <w:szCs w:val="24"/>
            </w:rPr>
            <w:fldChar w:fldCharType="end"/>
          </w:r>
          <w:r>
            <w:rPr>
              <w:sz w:val="24"/>
              <w:szCs w:val="24"/>
            </w:rPr>
            <w:fldChar w:fldCharType="end"/>
          </w:r>
        </w:p>
        <w:p w14:paraId="7CDC5F37">
          <w:pPr>
            <w:pStyle w:val="6"/>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_Toc3370 </w:instrText>
          </w:r>
          <w:r>
            <w:rPr>
              <w:sz w:val="24"/>
              <w:szCs w:val="24"/>
            </w:rPr>
            <w:fldChar w:fldCharType="separate"/>
          </w:r>
          <w:r>
            <w:rPr>
              <w:rFonts w:hint="eastAsia" w:ascii="黑体" w:hAnsi="黑体" w:eastAsia="黑体" w:cs="黑体"/>
              <w:sz w:val="24"/>
              <w:szCs w:val="24"/>
              <w:lang w:val="en-US" w:eastAsia="zh-CN"/>
            </w:rPr>
            <w:t>四、有关责任单位存在的问题</w:t>
          </w:r>
          <w:r>
            <w:rPr>
              <w:sz w:val="24"/>
              <w:szCs w:val="24"/>
            </w:rPr>
            <w:tab/>
          </w:r>
          <w:r>
            <w:rPr>
              <w:sz w:val="24"/>
              <w:szCs w:val="24"/>
            </w:rPr>
            <w:fldChar w:fldCharType="begin"/>
          </w:r>
          <w:r>
            <w:rPr>
              <w:sz w:val="24"/>
              <w:szCs w:val="24"/>
            </w:rPr>
            <w:instrText xml:space="preserve"> PAGEREF _Toc3370 \h </w:instrText>
          </w:r>
          <w:r>
            <w:rPr>
              <w:sz w:val="24"/>
              <w:szCs w:val="24"/>
            </w:rPr>
            <w:fldChar w:fldCharType="separate"/>
          </w:r>
          <w:r>
            <w:rPr>
              <w:sz w:val="24"/>
              <w:szCs w:val="24"/>
            </w:rPr>
            <w:t>8</w:t>
          </w:r>
          <w:r>
            <w:rPr>
              <w:sz w:val="24"/>
              <w:szCs w:val="24"/>
            </w:rPr>
            <w:fldChar w:fldCharType="end"/>
          </w:r>
          <w:r>
            <w:rPr>
              <w:sz w:val="24"/>
              <w:szCs w:val="24"/>
            </w:rPr>
            <w:fldChar w:fldCharType="end"/>
          </w:r>
        </w:p>
        <w:p w14:paraId="5ABE3602">
          <w:pPr>
            <w:pStyle w:val="6"/>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_Toc25698 </w:instrText>
          </w:r>
          <w:r>
            <w:rPr>
              <w:sz w:val="24"/>
              <w:szCs w:val="24"/>
            </w:rPr>
            <w:fldChar w:fldCharType="separate"/>
          </w:r>
          <w:r>
            <w:rPr>
              <w:rFonts w:hint="eastAsia" w:ascii="黑体" w:hAnsi="黑体" w:eastAsia="黑体" w:cs="黑体"/>
              <w:sz w:val="24"/>
              <w:szCs w:val="24"/>
              <w:lang w:val="en-US" w:eastAsia="zh-CN"/>
            </w:rPr>
            <w:t>五、对有关责任人员和责任单位的处理建议</w:t>
          </w:r>
          <w:r>
            <w:rPr>
              <w:sz w:val="24"/>
              <w:szCs w:val="24"/>
            </w:rPr>
            <w:tab/>
          </w:r>
          <w:r>
            <w:rPr>
              <w:sz w:val="24"/>
              <w:szCs w:val="24"/>
            </w:rPr>
            <w:fldChar w:fldCharType="begin"/>
          </w:r>
          <w:r>
            <w:rPr>
              <w:sz w:val="24"/>
              <w:szCs w:val="24"/>
            </w:rPr>
            <w:instrText xml:space="preserve"> PAGEREF _Toc25698 \h </w:instrText>
          </w:r>
          <w:r>
            <w:rPr>
              <w:sz w:val="24"/>
              <w:szCs w:val="24"/>
            </w:rPr>
            <w:fldChar w:fldCharType="separate"/>
          </w:r>
          <w:r>
            <w:rPr>
              <w:sz w:val="24"/>
              <w:szCs w:val="24"/>
            </w:rPr>
            <w:t>9</w:t>
          </w:r>
          <w:r>
            <w:rPr>
              <w:sz w:val="24"/>
              <w:szCs w:val="24"/>
            </w:rPr>
            <w:fldChar w:fldCharType="end"/>
          </w:r>
          <w:r>
            <w:rPr>
              <w:sz w:val="24"/>
              <w:szCs w:val="24"/>
            </w:rPr>
            <w:fldChar w:fldCharType="end"/>
          </w:r>
        </w:p>
        <w:p w14:paraId="7B9ADFE5">
          <w:pPr>
            <w:pStyle w:val="8"/>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_Toc31312 </w:instrText>
          </w:r>
          <w:r>
            <w:rPr>
              <w:sz w:val="24"/>
              <w:szCs w:val="24"/>
            </w:rPr>
            <w:fldChar w:fldCharType="separate"/>
          </w:r>
          <w:r>
            <w:rPr>
              <w:rFonts w:hint="eastAsia" w:ascii="楷体_GB2312" w:hAnsi="楷体_GB2312" w:eastAsia="楷体_GB2312" w:cs="楷体_GB2312"/>
              <w:bCs/>
              <w:sz w:val="24"/>
              <w:szCs w:val="24"/>
              <w:lang w:val="en-US" w:eastAsia="zh-CN"/>
            </w:rPr>
            <w:t>（一）因在事故中死亡免予追究责任人员</w:t>
          </w:r>
          <w:r>
            <w:rPr>
              <w:sz w:val="24"/>
              <w:szCs w:val="24"/>
            </w:rPr>
            <w:tab/>
          </w:r>
          <w:r>
            <w:rPr>
              <w:sz w:val="24"/>
              <w:szCs w:val="24"/>
            </w:rPr>
            <w:fldChar w:fldCharType="begin"/>
          </w:r>
          <w:r>
            <w:rPr>
              <w:sz w:val="24"/>
              <w:szCs w:val="24"/>
            </w:rPr>
            <w:instrText xml:space="preserve"> PAGEREF _Toc31312 \h </w:instrText>
          </w:r>
          <w:r>
            <w:rPr>
              <w:sz w:val="24"/>
              <w:szCs w:val="24"/>
            </w:rPr>
            <w:fldChar w:fldCharType="separate"/>
          </w:r>
          <w:r>
            <w:rPr>
              <w:sz w:val="24"/>
              <w:szCs w:val="24"/>
            </w:rPr>
            <w:t>9</w:t>
          </w:r>
          <w:r>
            <w:rPr>
              <w:sz w:val="24"/>
              <w:szCs w:val="24"/>
            </w:rPr>
            <w:fldChar w:fldCharType="end"/>
          </w:r>
          <w:r>
            <w:rPr>
              <w:sz w:val="24"/>
              <w:szCs w:val="24"/>
            </w:rPr>
            <w:fldChar w:fldCharType="end"/>
          </w:r>
        </w:p>
        <w:p w14:paraId="6611CB1F">
          <w:pPr>
            <w:pStyle w:val="8"/>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_Toc24502 </w:instrText>
          </w:r>
          <w:r>
            <w:rPr>
              <w:sz w:val="24"/>
              <w:szCs w:val="24"/>
            </w:rPr>
            <w:fldChar w:fldCharType="separate"/>
          </w:r>
          <w:r>
            <w:rPr>
              <w:rFonts w:hint="eastAsia" w:ascii="楷体_GB2312" w:hAnsi="楷体_GB2312" w:eastAsia="楷体_GB2312" w:cs="楷体_GB2312"/>
              <w:bCs/>
              <w:sz w:val="24"/>
              <w:szCs w:val="24"/>
              <w:lang w:val="en-US" w:eastAsia="zh-CN"/>
            </w:rPr>
            <w:t>（二）对事故有关责任人员和责任单位的行政处罚建议</w:t>
          </w:r>
          <w:r>
            <w:rPr>
              <w:sz w:val="24"/>
              <w:szCs w:val="24"/>
            </w:rPr>
            <w:tab/>
          </w:r>
          <w:r>
            <w:rPr>
              <w:sz w:val="24"/>
              <w:szCs w:val="24"/>
            </w:rPr>
            <w:fldChar w:fldCharType="begin"/>
          </w:r>
          <w:r>
            <w:rPr>
              <w:sz w:val="24"/>
              <w:szCs w:val="24"/>
            </w:rPr>
            <w:instrText xml:space="preserve"> PAGEREF _Toc24502 \h </w:instrText>
          </w:r>
          <w:r>
            <w:rPr>
              <w:sz w:val="24"/>
              <w:szCs w:val="24"/>
            </w:rPr>
            <w:fldChar w:fldCharType="separate"/>
          </w:r>
          <w:r>
            <w:rPr>
              <w:sz w:val="24"/>
              <w:szCs w:val="24"/>
            </w:rPr>
            <w:t>9</w:t>
          </w:r>
          <w:r>
            <w:rPr>
              <w:sz w:val="24"/>
              <w:szCs w:val="24"/>
            </w:rPr>
            <w:fldChar w:fldCharType="end"/>
          </w:r>
          <w:r>
            <w:rPr>
              <w:sz w:val="24"/>
              <w:szCs w:val="24"/>
            </w:rPr>
            <w:fldChar w:fldCharType="end"/>
          </w:r>
        </w:p>
        <w:p w14:paraId="4BC672BA">
          <w:pPr>
            <w:pStyle w:val="6"/>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_Toc3111 </w:instrText>
          </w:r>
          <w:r>
            <w:rPr>
              <w:sz w:val="24"/>
              <w:szCs w:val="24"/>
            </w:rPr>
            <w:fldChar w:fldCharType="separate"/>
          </w:r>
          <w:r>
            <w:rPr>
              <w:rFonts w:hint="eastAsia" w:ascii="黑体" w:hAnsi="黑体" w:eastAsia="黑体" w:cs="黑体"/>
              <w:sz w:val="24"/>
              <w:szCs w:val="24"/>
              <w:lang w:val="en-US" w:eastAsia="zh-CN"/>
            </w:rPr>
            <w:t>六、事故主要教训</w:t>
          </w:r>
          <w:r>
            <w:rPr>
              <w:sz w:val="24"/>
              <w:szCs w:val="24"/>
            </w:rPr>
            <w:tab/>
          </w:r>
          <w:r>
            <w:rPr>
              <w:sz w:val="24"/>
              <w:szCs w:val="24"/>
            </w:rPr>
            <w:fldChar w:fldCharType="begin"/>
          </w:r>
          <w:r>
            <w:rPr>
              <w:sz w:val="24"/>
              <w:szCs w:val="24"/>
            </w:rPr>
            <w:instrText xml:space="preserve"> PAGEREF _Toc3111 \h </w:instrText>
          </w:r>
          <w:r>
            <w:rPr>
              <w:sz w:val="24"/>
              <w:szCs w:val="24"/>
            </w:rPr>
            <w:fldChar w:fldCharType="separate"/>
          </w:r>
          <w:r>
            <w:rPr>
              <w:sz w:val="24"/>
              <w:szCs w:val="24"/>
            </w:rPr>
            <w:t>10</w:t>
          </w:r>
          <w:r>
            <w:rPr>
              <w:sz w:val="24"/>
              <w:szCs w:val="24"/>
            </w:rPr>
            <w:fldChar w:fldCharType="end"/>
          </w:r>
          <w:r>
            <w:rPr>
              <w:sz w:val="24"/>
              <w:szCs w:val="24"/>
            </w:rPr>
            <w:fldChar w:fldCharType="end"/>
          </w:r>
        </w:p>
        <w:p w14:paraId="7FF2961B">
          <w:pPr>
            <w:pStyle w:val="6"/>
            <w:keepNext w:val="0"/>
            <w:keepLines w:val="0"/>
            <w:pageBreakBefore w:val="0"/>
            <w:widowControl w:val="0"/>
            <w:tabs>
              <w:tab w:val="right" w:leader="dot" w:pos="9015"/>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_Toc14937 </w:instrText>
          </w:r>
          <w:r>
            <w:rPr>
              <w:sz w:val="24"/>
              <w:szCs w:val="24"/>
            </w:rPr>
            <w:fldChar w:fldCharType="separate"/>
          </w:r>
          <w:r>
            <w:rPr>
              <w:rFonts w:hint="eastAsia" w:ascii="黑体" w:hAnsi="黑体" w:eastAsia="黑体" w:cs="黑体"/>
              <w:sz w:val="24"/>
              <w:szCs w:val="24"/>
              <w:lang w:val="en-US" w:eastAsia="zh-CN"/>
            </w:rPr>
            <w:t>七、事故整改和防范措施</w:t>
          </w:r>
          <w:r>
            <w:rPr>
              <w:sz w:val="24"/>
              <w:szCs w:val="24"/>
            </w:rPr>
            <w:tab/>
          </w:r>
          <w:r>
            <w:rPr>
              <w:sz w:val="24"/>
              <w:szCs w:val="24"/>
            </w:rPr>
            <w:fldChar w:fldCharType="begin"/>
          </w:r>
          <w:r>
            <w:rPr>
              <w:sz w:val="24"/>
              <w:szCs w:val="24"/>
            </w:rPr>
            <w:instrText xml:space="preserve"> PAGEREF _Toc14937 \h </w:instrText>
          </w:r>
          <w:r>
            <w:rPr>
              <w:sz w:val="24"/>
              <w:szCs w:val="24"/>
            </w:rPr>
            <w:fldChar w:fldCharType="separate"/>
          </w:r>
          <w:r>
            <w:rPr>
              <w:sz w:val="24"/>
              <w:szCs w:val="24"/>
            </w:rPr>
            <w:t>10</w:t>
          </w:r>
          <w:r>
            <w:rPr>
              <w:sz w:val="24"/>
              <w:szCs w:val="24"/>
            </w:rPr>
            <w:fldChar w:fldCharType="end"/>
          </w:r>
          <w:r>
            <w:rPr>
              <w:sz w:val="24"/>
              <w:szCs w:val="24"/>
            </w:rPr>
            <w:fldChar w:fldCharType="end"/>
          </w:r>
        </w:p>
        <w:p w14:paraId="73A6215B">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heme="minorBidi"/>
              <w:b/>
              <w:kern w:val="2"/>
              <w:sz w:val="24"/>
              <w:szCs w:val="24"/>
              <w:lang w:val="en-US" w:eastAsia="zh-CN" w:bidi="ar-SA"/>
            </w:rPr>
          </w:pPr>
          <w:r>
            <w:rPr>
              <w:sz w:val="24"/>
              <w:szCs w:val="24"/>
            </w:rPr>
            <w:fldChar w:fldCharType="end"/>
          </w:r>
        </w:p>
      </w:sdtContent>
    </w:sdt>
    <w:p w14:paraId="489D83A5">
      <w:pPr>
        <w:pStyle w:val="14"/>
      </w:pPr>
    </w:p>
    <w:p w14:paraId="62FE5430">
      <w:pPr>
        <w:bidi w:val="0"/>
      </w:pPr>
    </w:p>
    <w:p w14:paraId="050CDDA3">
      <w:pPr>
        <w:tabs>
          <w:tab w:val="left" w:pos="2246"/>
        </w:tabs>
        <w:bidi w:val="0"/>
        <w:jc w:val="left"/>
        <w:rPr>
          <w:rFonts w:hint="eastAsia"/>
          <w:lang w:eastAsia="zh-CN"/>
        </w:rPr>
      </w:pPr>
      <w:r>
        <w:rPr>
          <w:rFonts w:hint="eastAsia"/>
          <w:lang w:eastAsia="zh-CN"/>
        </w:rPr>
        <w:tab/>
      </w:r>
    </w:p>
    <w:p w14:paraId="30C05F9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sectPr>
          <w:pgSz w:w="11906" w:h="16838"/>
          <w:pgMar w:top="2154" w:right="1304" w:bottom="1984" w:left="1587" w:header="851" w:footer="992" w:gutter="0"/>
          <w:pgNumType w:fmt="decimal"/>
          <w:cols w:space="425" w:num="1"/>
          <w:docGrid w:type="lines" w:linePitch="312" w:charSpace="0"/>
        </w:sectPr>
      </w:pPr>
      <w:bookmarkStart w:id="9" w:name="_Toc6843"/>
      <w:bookmarkStart w:id="10" w:name="_Toc4015"/>
      <w:bookmarkStart w:id="11" w:name="_Toc17515"/>
      <w:bookmarkStart w:id="12" w:name="_Toc29949"/>
      <w:bookmarkStart w:id="13" w:name="_Toc23753"/>
      <w:bookmarkStart w:id="14" w:name="_Toc443"/>
    </w:p>
    <w:p w14:paraId="7CD6073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15" w:name="_Toc5749"/>
      <w:bookmarkStart w:id="16" w:name="_Toc21175"/>
      <w:bookmarkStart w:id="17" w:name="_Toc27045"/>
    </w:p>
    <w:p w14:paraId="00B2F7B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青山冶金青山区23街坊建设工程总承包（epc）项目“11·3”一般高处坠落安全事故调查</w:t>
      </w:r>
      <w:bookmarkEnd w:id="15"/>
      <w:bookmarkEnd w:id="16"/>
      <w:bookmarkEnd w:id="17"/>
    </w:p>
    <w:p w14:paraId="4EF3A98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18" w:name="_Toc14134"/>
      <w:bookmarkStart w:id="19" w:name="_Toc24076"/>
      <w:bookmarkStart w:id="20" w:name="_Toc6688"/>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报  告</w:t>
      </w:r>
      <w:bookmarkEnd w:id="18"/>
      <w:bookmarkEnd w:id="19"/>
      <w:bookmarkEnd w:id="20"/>
    </w:p>
    <w:bookmarkEnd w:id="9"/>
    <w:bookmarkEnd w:id="10"/>
    <w:bookmarkEnd w:id="11"/>
    <w:bookmarkEnd w:id="12"/>
    <w:bookmarkEnd w:id="13"/>
    <w:bookmarkEnd w:id="14"/>
    <w:p w14:paraId="767156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8611A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日，冶金街道青山区</w:t>
      </w:r>
      <w:r>
        <w:rPr>
          <w:rFonts w:hint="eastAsia" w:ascii="宋体" w:hAnsi="宋体" w:eastAsia="宋体" w:cs="宋体"/>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街坊建设工程总承包（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epc</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）项目发生一起高处坠落安全事故，造成</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人死亡，直接经济损失</w:t>
      </w:r>
      <w:r>
        <w:rPr>
          <w:rFonts w:hint="eastAsia" w:ascii="宋体" w:hAnsi="宋体" w:eastAsia="宋体" w:cs="宋体"/>
          <w:color w:val="000000" w:themeColor="text1"/>
          <w:sz w:val="32"/>
          <w:szCs w:val="32"/>
          <w:lang w:val="en-US" w:eastAsia="zh-CN"/>
          <w14:textFill>
            <w14:solidFill>
              <w14:schemeClr w14:val="tx1"/>
            </w14:solidFill>
          </w14:textFill>
        </w:rPr>
        <w:t>175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万余元。</w:t>
      </w:r>
    </w:p>
    <w:p w14:paraId="0150F7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依据《中华人民共和国安全生产法》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以下简称“安全生产法”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《生产安全事故报告和调查处理条例》（国务院令第</w:t>
      </w:r>
      <w:r>
        <w:rPr>
          <w:rFonts w:hint="eastAsia" w:ascii="宋体" w:hAnsi="宋体" w:eastAsia="宋体" w:cs="宋体"/>
          <w:color w:val="000000" w:themeColor="text1"/>
          <w:sz w:val="32"/>
          <w:szCs w:val="32"/>
          <w:lang w:val="en-US" w:eastAsia="zh-CN"/>
          <w14:textFill>
            <w14:solidFill>
              <w14:schemeClr w14:val="tx1"/>
            </w14:solidFill>
          </w14:textFill>
        </w:rPr>
        <w:t>493</w:t>
      </w:r>
      <w:r>
        <w:rPr>
          <w:rFonts w:hint="eastAsia" w:ascii="仿宋_GB2312" w:hAnsi="仿宋_GB2312" w:eastAsia="仿宋_GB2312" w:cs="仿宋_GB2312"/>
          <w:color w:val="000000" w:themeColor="text1"/>
          <w:sz w:val="32"/>
          <w:szCs w:val="32"/>
          <w14:textFill>
            <w14:solidFill>
              <w14:schemeClr w14:val="tx1"/>
            </w14:solidFill>
          </w14:textFill>
        </w:rPr>
        <w:t>号）、《湖北省生产安全事故报告和调查处理办法》（省政府令第</w:t>
      </w:r>
      <w:r>
        <w:rPr>
          <w:rFonts w:hint="eastAsia" w:ascii="宋体" w:hAnsi="宋体" w:eastAsia="宋体" w:cs="宋体"/>
          <w:color w:val="000000" w:themeColor="text1"/>
          <w:sz w:val="32"/>
          <w:szCs w:val="32"/>
          <w:lang w:val="en-US" w:eastAsia="zh-CN"/>
          <w14:textFill>
            <w14:solidFill>
              <w14:schemeClr w14:val="tx1"/>
            </w14:solidFill>
          </w14:textFill>
        </w:rPr>
        <w:t>354</w:t>
      </w:r>
      <w:r>
        <w:rPr>
          <w:rFonts w:hint="eastAsia" w:ascii="仿宋_GB2312" w:hAnsi="仿宋_GB2312" w:eastAsia="仿宋_GB2312" w:cs="仿宋_GB2312"/>
          <w:color w:val="000000" w:themeColor="text1"/>
          <w:sz w:val="32"/>
          <w:szCs w:val="32"/>
          <w14:textFill>
            <w14:solidFill>
              <w14:schemeClr w14:val="tx1"/>
            </w14:solidFill>
          </w14:textFill>
        </w:rPr>
        <w:t>号）等有关法律法规规定，青山区人民政府成立由</w:t>
      </w:r>
      <w:r>
        <w:rPr>
          <w:rFonts w:hint="eastAsia" w:ascii="仿宋_GB2312" w:hAnsi="仿宋_GB2312" w:eastAsia="仿宋_GB2312" w:cs="仿宋_GB2312"/>
          <w:b w:val="0"/>
          <w:bCs/>
          <w:sz w:val="32"/>
          <w:szCs w:val="32"/>
          <w:lang w:val="en-US" w:eastAsia="zh-CN"/>
        </w:rPr>
        <w:t>区应急管理局、区公安分局、区资建局、区国资局、区总工会、冶金街道办事处</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单位组成的</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11·3</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一般高处坠落安全事故</w:t>
      </w:r>
      <w:r>
        <w:rPr>
          <w:rFonts w:hint="eastAsia" w:ascii="仿宋_GB2312" w:hAnsi="仿宋_GB2312" w:eastAsia="仿宋_GB2312" w:cs="仿宋_GB2312"/>
          <w:color w:val="000000" w:themeColor="text1"/>
          <w:sz w:val="32"/>
          <w:szCs w:val="32"/>
          <w14:textFill>
            <w14:solidFill>
              <w14:schemeClr w14:val="tx1"/>
            </w14:solidFill>
          </w14:textFill>
        </w:rPr>
        <w:t>调查组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以下简称事故调查组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lang w:val="en-US" w:eastAsia="zh-CN" w:bidi="ar-SA"/>
          <w14:textFill>
            <w14:solidFill>
              <w14:schemeClr w14:val="tx1"/>
            </w14:solidFill>
          </w14:textFill>
        </w:rPr>
        <w:t>并邀请区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纪委监委、区检察院</w:t>
      </w:r>
      <w:r>
        <w:rPr>
          <w:rFonts w:hint="eastAsia" w:ascii="仿宋_GB2312" w:hAnsi="仿宋_GB2312" w:eastAsia="仿宋_GB2312" w:cs="仿宋_GB2312"/>
          <w:b w:val="0"/>
          <w:bCs/>
          <w:sz w:val="32"/>
          <w:szCs w:val="32"/>
          <w:lang w:val="en-US" w:eastAsia="zh-CN"/>
        </w:rPr>
        <w:t>有关部门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参加</w:t>
      </w:r>
      <w:r>
        <w:rPr>
          <w:rFonts w:hint="eastAsia" w:ascii="仿宋_GB2312" w:hAnsi="仿宋_GB2312" w:eastAsia="仿宋_GB2312" w:cs="仿宋_GB2312"/>
          <w:color w:val="000000" w:themeColor="text1"/>
          <w:kern w:val="2"/>
          <w:sz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对事故展开调查。</w:t>
      </w:r>
    </w:p>
    <w:p w14:paraId="0974A9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事故调查组按照“科学严谨、依法依规、实事求是、注重实效”和“四不放过”的原则，通过现场勘验、调查取证、人员询问和综合分析，查清了事故发生的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w:t>
      </w:r>
      <w:r>
        <w:rPr>
          <w:rFonts w:hint="eastAsia" w:ascii="仿宋_GB2312" w:hAnsi="仿宋_GB2312" w:eastAsia="仿宋_GB2312" w:cs="仿宋_GB2312"/>
          <w:color w:val="000000" w:themeColor="text1"/>
          <w:sz w:val="32"/>
          <w:szCs w:val="32"/>
          <w14:textFill>
            <w14:solidFill>
              <w14:schemeClr w14:val="tx1"/>
            </w14:solidFill>
          </w14:textFill>
        </w:rPr>
        <w:t>经过、原因、人员伤亡和财产损失情况，认定了事故的性质和事故责任，提出了对有关责任人员及责任单位的处理建议和事故防范措施建议。</w:t>
      </w:r>
    </w:p>
    <w:p w14:paraId="596BCD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经调查认定，青山冶金青山区</w:t>
      </w:r>
      <w:r>
        <w:rPr>
          <w:rFonts w:hint="eastAsia" w:ascii="宋体" w:hAnsi="宋体" w:eastAsia="宋体" w:cs="宋体"/>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街坊建设工程总承包（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epc</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宋体" w:hAnsi="宋体" w:eastAsia="宋体" w:cs="宋体"/>
          <w:color w:val="000000" w:themeColor="text1"/>
          <w:sz w:val="32"/>
          <w:szCs w:val="32"/>
          <w:lang w:val="en-US" w:eastAsia="zh-CN"/>
          <w14:textFill>
            <w14:solidFill>
              <w14:schemeClr w14:val="tx1"/>
            </w14:solidFill>
          </w14:textFill>
        </w:rPr>
        <w:t>11·3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”一般高处坠落安全事故是一起因现场作业人员违章作业而造成的一般生产安全责任事故。</w:t>
      </w:r>
    </w:p>
    <w:p w14:paraId="1EB62B96">
      <w:pPr>
        <w:pStyle w:val="6"/>
        <w:keepNext w:val="0"/>
        <w:keepLines w:val="0"/>
        <w:pageBreakBefore w:val="0"/>
        <w:widowControl w:val="0"/>
        <w:kinsoku/>
        <w:wordWrap/>
        <w:overflowPunct/>
        <w:autoSpaceDE/>
        <w:autoSpaceDN/>
        <w:bidi w:val="0"/>
        <w:spacing w:line="560" w:lineRule="exact"/>
        <w:ind w:firstLine="640" w:firstLineChars="200"/>
        <w:jc w:val="both"/>
        <w:textAlignment w:val="auto"/>
        <w:outlineLvl w:val="0"/>
        <w:rPr>
          <w:rFonts w:hint="eastAsia" w:ascii="楷体_GB2312" w:hAnsi="楷体_GB2312" w:eastAsia="楷体_GB2312" w:cs="楷体_GB2312"/>
          <w:b/>
          <w:bCs/>
          <w:sz w:val="32"/>
          <w:szCs w:val="32"/>
          <w:lang w:val="en-US" w:eastAsia="zh-CN"/>
        </w:rPr>
      </w:pPr>
      <w:bookmarkStart w:id="21" w:name="_Toc9221"/>
      <w:r>
        <w:rPr>
          <w:rFonts w:hint="eastAsia" w:ascii="黑体" w:hAnsi="黑体" w:eastAsia="黑体" w:cs="黑体"/>
          <w:sz w:val="32"/>
          <w:szCs w:val="32"/>
          <w:lang w:val="en-US" w:eastAsia="zh-CN"/>
        </w:rPr>
        <w:t>一、事故基本情况</w:t>
      </w:r>
      <w:bookmarkEnd w:id="21"/>
    </w:p>
    <w:p w14:paraId="23B344D2">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22" w:name="_Toc22053"/>
      <w:r>
        <w:rPr>
          <w:rFonts w:hint="eastAsia" w:ascii="楷体_GB2312" w:hAnsi="楷体_GB2312" w:eastAsia="楷体_GB2312" w:cs="楷体_GB2312"/>
          <w:b/>
          <w:bCs/>
          <w:sz w:val="32"/>
          <w:szCs w:val="32"/>
          <w:lang w:val="en-US" w:eastAsia="zh-CN"/>
        </w:rPr>
        <w:t>（一）事故发生单位及相关单位概况</w:t>
      </w:r>
      <w:bookmarkEnd w:id="22"/>
    </w:p>
    <w:p w14:paraId="1040BA8C">
      <w:pPr>
        <w:pStyle w:val="14"/>
        <w:keepNext w:val="0"/>
        <w:keepLines w:val="0"/>
        <w:pageBreakBefore w:val="0"/>
        <w:widowControl w:val="0"/>
        <w:numPr>
          <w:ilvl w:val="0"/>
          <w:numId w:val="0"/>
        </w:numPr>
        <w:kinsoku/>
        <w:wordWrap/>
        <w:overflowPunct/>
        <w:autoSpaceDE/>
        <w:autoSpaceDN/>
        <w:bidi w:val="0"/>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1.湖北裕恒设备租赁有限公司。</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塔吊分包单位，统一信用代码：</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91420106783164940</w:t>
      </w:r>
      <w:r>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A</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，类型为有限责任公司(自然人投资或控股)，成立于</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2006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16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日，住所为武汉武昌区民主路</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472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号洪广宝座</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10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层</w:t>
      </w:r>
      <w:r>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G</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号，经营范围：一般项目：建筑工程机械与设备租赁；普通机械设备安装服务；国内货物运输代理；装卸搬运（除许可业务外，可自主依法经营法律法规非禁止或限制的项目）。持有湖北省住房和城乡建设厅颁发的《安全生产许可证》，</w:t>
      </w:r>
      <w:r>
        <w:rPr>
          <w:rFonts w:hint="eastAsia" w:ascii="仿宋_GB2312" w:hAnsi="仿宋_GB2312" w:eastAsia="仿宋_GB2312" w:cs="仿宋_GB2312"/>
          <w:sz w:val="32"/>
          <w:szCs w:val="32"/>
          <w:lang w:val="en-US" w:eastAsia="zh-CN"/>
        </w:rPr>
        <w:t>编号：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（鄂）</w:t>
      </w:r>
      <w:r>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JZ</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安许证字〔</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2007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003660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，有效期至</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2027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10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15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日；持有湖北省住房和城乡建设厅颁发的《建筑业企业资质证书》，编号D</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242043074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，有效期至</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2029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日，资质类别及等级为起重设备安装工程专业承包壹级。</w:t>
      </w:r>
      <w:r>
        <w:rPr>
          <w:rFonts w:hint="eastAsia" w:ascii="楷体_GB2312" w:hAnsi="楷体_GB2312" w:eastAsia="楷体_GB2312" w:cs="楷体_GB2312"/>
          <w:b/>
          <w:bCs/>
          <w:sz w:val="32"/>
          <w:szCs w:val="32"/>
          <w:lang w:val="en-US" w:eastAsia="zh-CN"/>
        </w:rPr>
        <w:t xml:space="preserve"> </w:t>
      </w:r>
    </w:p>
    <w:p w14:paraId="29300AEF">
      <w:pPr>
        <w:pStyle w:val="14"/>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2.中国一冶集团有限公司。</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项目施工单位，统一信用代码：</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914201001777275556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，类型为其他有限责任公司，成立于</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199</w:t>
      </w:r>
      <w:r>
        <w:rPr>
          <w:rFonts w:hint="eastAsia" w:eastAsia="宋体" w:cs="宋体"/>
          <w:color w:val="000000" w:themeColor="text1"/>
          <w:kern w:val="2"/>
          <w:sz w:val="32"/>
          <w:szCs w:val="32"/>
          <w:u w:val="none"/>
          <w:lang w:val="en-US" w:eastAsia="zh-CN" w:bidi="ar-SA"/>
          <w14:textFill>
            <w14:solidFill>
              <w14:schemeClr w14:val="tx1"/>
            </w14:solidFill>
          </w14:textFill>
        </w:rPr>
        <w:t>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eastAsia="宋体" w:cs="宋体"/>
          <w:color w:val="000000" w:themeColor="text1"/>
          <w:kern w:val="2"/>
          <w:sz w:val="32"/>
          <w:szCs w:val="32"/>
          <w:u w:val="none"/>
          <w:lang w:val="en-US" w:eastAsia="zh-CN" w:bidi="ar-SA"/>
          <w14:textFill>
            <w14:solidFill>
              <w14:schemeClr w14:val="tx1"/>
            </w14:solidFill>
          </w14:textFill>
        </w:rPr>
        <w:t>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宋体" w:cs="宋体"/>
          <w:color w:val="000000" w:themeColor="text1"/>
          <w:kern w:val="2"/>
          <w:sz w:val="32"/>
          <w:szCs w:val="32"/>
          <w:u w:val="none"/>
          <w:lang w:val="en-US" w:eastAsia="zh-CN" w:bidi="ar-SA"/>
          <w14:textFill>
            <w14:solidFill>
              <w14:schemeClr w14:val="tx1"/>
            </w14:solidFill>
          </w14:textFill>
        </w:rPr>
        <w:t>25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日，住所为青山区</w:t>
      </w:r>
      <w:r>
        <w:rPr>
          <w:rFonts w:hint="eastAsia" w:eastAsia="宋体" w:cs="宋体"/>
          <w:color w:val="000000" w:themeColor="text1"/>
          <w:kern w:val="2"/>
          <w:sz w:val="32"/>
          <w:szCs w:val="32"/>
          <w:u w:val="none"/>
          <w:lang w:val="en-US" w:eastAsia="zh-CN" w:bidi="ar-SA"/>
          <w14:textFill>
            <w14:solidFill>
              <w14:schemeClr w14:val="tx1"/>
            </w14:solidFill>
          </w14:textFill>
        </w:rPr>
        <w:t>36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街坊（青山区工业路</w:t>
      </w:r>
      <w:r>
        <w:rPr>
          <w:rFonts w:hint="eastAsia" w:eastAsia="宋体" w:cs="宋体"/>
          <w:color w:val="000000" w:themeColor="text1"/>
          <w:kern w:val="2"/>
          <w:sz w:val="32"/>
          <w:szCs w:val="32"/>
          <w:u w:val="none"/>
          <w:lang w:val="en-US" w:eastAsia="zh-CN" w:bidi="ar-SA"/>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号一冶科技大楼），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范围：建设工程总承包、施工总承包和项目管理；工程技术研究；冶炼、建筑、市政、公路工程设计和技术服务；与工程建筑相关的工艺、材料、装备和产品的技术开发、技术服务、技术转让等。持有湖北省住房和城乡建设厅颁发的《安全生产许可证》，</w:t>
      </w:r>
      <w:r>
        <w:rPr>
          <w:rFonts w:hint="eastAsia" w:ascii="仿宋_GB2312" w:hAnsi="仿宋_GB2312" w:eastAsia="仿宋_GB2312" w:cs="仿宋_GB2312"/>
          <w:sz w:val="32"/>
          <w:szCs w:val="32"/>
          <w:lang w:val="en-US" w:eastAsia="zh-CN"/>
        </w:rPr>
        <w:t>编号：（鄂）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JZ</w:t>
      </w:r>
      <w:r>
        <w:rPr>
          <w:rFonts w:hint="eastAsia" w:ascii="仿宋_GB2312" w:hAnsi="仿宋_GB2312" w:eastAsia="仿宋_GB2312" w:cs="仿宋_GB2312"/>
          <w:sz w:val="32"/>
          <w:szCs w:val="32"/>
          <w:lang w:val="en-US" w:eastAsia="zh-CN"/>
        </w:rPr>
        <w:t>安许证字〔</w:t>
      </w:r>
      <w:r>
        <w:rPr>
          <w:rFonts w:hint="eastAsia" w:ascii="宋体" w:hAnsi="宋体" w:eastAsia="宋体" w:cs="宋体"/>
          <w:color w:val="000000" w:themeColor="text1"/>
          <w:kern w:val="2"/>
          <w:sz w:val="32"/>
          <w:szCs w:val="32"/>
          <w:u w:val="none"/>
          <w:lang w:val="en-US" w:eastAsia="zh-CN" w:bidi="ar-SA"/>
          <w14:textFill>
            <w14:solidFill>
              <w14:schemeClr w14:val="tx1"/>
            </w14:solidFill>
          </w14:textFill>
        </w:rPr>
        <w:t>2005</w:t>
      </w:r>
      <w:r>
        <w:rPr>
          <w:rFonts w:hint="eastAsia" w:ascii="仿宋_GB2312" w:hAnsi="仿宋_GB2312" w:eastAsia="仿宋_GB2312" w:cs="仿宋_GB2312"/>
          <w:sz w:val="32"/>
          <w:szCs w:val="32"/>
          <w:lang w:val="en-US" w:eastAsia="zh-CN"/>
        </w:rPr>
        <w:t>〕</w:t>
      </w:r>
      <w:r>
        <w:rPr>
          <w:rFonts w:hint="eastAsia" w:eastAsia="宋体" w:cs="宋体"/>
          <w:color w:val="000000" w:themeColor="text1"/>
          <w:kern w:val="2"/>
          <w:sz w:val="32"/>
          <w:szCs w:val="32"/>
          <w:u w:val="none"/>
          <w:lang w:val="en-US" w:eastAsia="zh-CN" w:bidi="ar-SA"/>
          <w14:textFill>
            <w14:solidFill>
              <w14:schemeClr w14:val="tx1"/>
            </w14:solidFill>
          </w14:textFill>
        </w:rPr>
        <w:t>000182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有效期至</w:t>
      </w:r>
      <w:r>
        <w:rPr>
          <w:rFonts w:hint="eastAsia" w:eastAsia="宋体" w:cs="宋体"/>
          <w:color w:val="000000" w:themeColor="text1"/>
          <w:kern w:val="2"/>
          <w:sz w:val="32"/>
          <w:szCs w:val="32"/>
          <w:u w:val="none"/>
          <w:lang w:val="en-US" w:eastAsia="zh-CN" w:bidi="ar-SA"/>
          <w14:textFill>
            <w14:solidFill>
              <w14:schemeClr w14:val="tx1"/>
            </w14:solidFill>
          </w14:textFill>
        </w:rPr>
        <w:t>2025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eastAsia="宋体" w:cs="宋体"/>
          <w:color w:val="000000" w:themeColor="text1"/>
          <w:kern w:val="2"/>
          <w:sz w:val="32"/>
          <w:szCs w:val="32"/>
          <w:u w:val="none"/>
          <w:lang w:val="en-US" w:eastAsia="zh-CN" w:bidi="ar-SA"/>
          <w14:textFill>
            <w14:solidFill>
              <w14:schemeClr w14:val="tx1"/>
            </w14:solidFill>
          </w14:textFill>
        </w:rPr>
        <w:t>11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宋体" w:cs="宋体"/>
          <w:color w:val="000000" w:themeColor="text1"/>
          <w:kern w:val="2"/>
          <w:sz w:val="32"/>
          <w:szCs w:val="32"/>
          <w:u w:val="none"/>
          <w:lang w:val="en-US" w:eastAsia="zh-CN" w:bidi="ar-SA"/>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日；持有中华人民共和国住房和城乡建设部颁发的《建筑业企业资质证书》，编号D</w:t>
      </w:r>
      <w:r>
        <w:rPr>
          <w:rFonts w:hint="eastAsia" w:eastAsia="宋体" w:cs="宋体"/>
          <w:color w:val="000000" w:themeColor="text1"/>
          <w:kern w:val="2"/>
          <w:sz w:val="32"/>
          <w:szCs w:val="32"/>
          <w:u w:val="none"/>
          <w:lang w:val="en-US" w:eastAsia="zh-CN" w:bidi="ar-SA"/>
          <w14:textFill>
            <w14:solidFill>
              <w14:schemeClr w14:val="tx1"/>
            </w14:solidFill>
          </w14:textFill>
        </w:rPr>
        <w:t>142002371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，有效期至</w:t>
      </w:r>
      <w:r>
        <w:rPr>
          <w:rFonts w:hint="eastAsia" w:eastAsia="宋体" w:cs="宋体"/>
          <w:color w:val="000000" w:themeColor="text1"/>
          <w:kern w:val="2"/>
          <w:sz w:val="32"/>
          <w:szCs w:val="32"/>
          <w:u w:val="none"/>
          <w:lang w:val="en-US" w:eastAsia="zh-CN" w:bidi="ar-SA"/>
          <w14:textFill>
            <w14:solidFill>
              <w14:schemeClr w14:val="tx1"/>
            </w14:solidFill>
          </w14:textFill>
        </w:rPr>
        <w:t>2028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eastAsia="宋体" w:cs="宋体"/>
          <w:color w:val="000000" w:themeColor="text1"/>
          <w:kern w:val="2"/>
          <w:sz w:val="32"/>
          <w:szCs w:val="32"/>
          <w:u w:val="none"/>
          <w:lang w:val="en-US" w:eastAsia="zh-CN" w:bidi="ar-SA"/>
          <w14:textFill>
            <w14:solidFill>
              <w14:schemeClr w14:val="tx1"/>
            </w14:solidFill>
          </w14:textFill>
        </w:rPr>
        <w:t>12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宋体" w:cs="宋体"/>
          <w:color w:val="000000" w:themeColor="text1"/>
          <w:kern w:val="2"/>
          <w:sz w:val="32"/>
          <w:szCs w:val="32"/>
          <w:u w:val="none"/>
          <w:lang w:val="en-US" w:eastAsia="zh-CN" w:bidi="ar-SA"/>
          <w14:textFill>
            <w14:solidFill>
              <w14:schemeClr w14:val="tx1"/>
            </w14:solidFill>
          </w14:textFill>
        </w:rPr>
        <w:t>22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日，资质类别及等级包括建筑工程施工总承包特级。</w:t>
      </w:r>
    </w:p>
    <w:p w14:paraId="6DF1A7C3">
      <w:pPr>
        <w:pStyle w:val="14"/>
        <w:keepNext w:val="0"/>
        <w:keepLines w:val="0"/>
        <w:pageBreakBefore w:val="0"/>
        <w:widowControl w:val="0"/>
        <w:kinsoku/>
        <w:wordWrap/>
        <w:overflowPunct/>
        <w:topLinePunct/>
        <w:autoSpaceDE/>
        <w:autoSpaceDN/>
        <w:bidi w:val="0"/>
        <w:adjustRightInd w:val="0"/>
        <w:snapToGrid w:val="0"/>
        <w:spacing w:line="560" w:lineRule="exact"/>
        <w:ind w:left="0" w:leftChars="0" w:firstLine="643" w:firstLineChars="200"/>
        <w:textAlignment w:val="auto"/>
        <w:rPr>
          <w:rFonts w:hint="eastAsia"/>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3.南方咨询（湖北）有限公司。</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项目监理单位，统一信用代码：</w:t>
      </w:r>
      <w:r>
        <w:rPr>
          <w:rFonts w:hint="eastAsia" w:eastAsia="宋体" w:cs="宋体"/>
          <w:color w:val="000000" w:themeColor="text1"/>
          <w:kern w:val="2"/>
          <w:sz w:val="32"/>
          <w:szCs w:val="32"/>
          <w:u w:val="none"/>
          <w:lang w:val="en-US" w:eastAsia="zh-CN" w:bidi="ar-SA"/>
          <w14:textFill>
            <w14:solidFill>
              <w14:schemeClr w14:val="tx1"/>
            </w14:solidFill>
          </w14:textFill>
        </w:rPr>
        <w:t>91420113714666859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Q，类型为有限责任公司(自然人投资或控股)，成立于</w:t>
      </w:r>
      <w:r>
        <w:rPr>
          <w:rFonts w:hint="eastAsia" w:eastAsia="宋体" w:cs="宋体"/>
          <w:color w:val="000000" w:themeColor="text1"/>
          <w:kern w:val="2"/>
          <w:sz w:val="32"/>
          <w:szCs w:val="32"/>
          <w:u w:val="none"/>
          <w:lang w:val="en-US" w:eastAsia="zh-CN" w:bidi="ar-SA"/>
          <w14:textFill>
            <w14:solidFill>
              <w14:schemeClr w14:val="tx1"/>
            </w14:solidFill>
          </w14:textFill>
        </w:rPr>
        <w:t>1995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eastAsia="宋体" w:cs="宋体"/>
          <w:color w:val="000000" w:themeColor="text1"/>
          <w:kern w:val="2"/>
          <w:sz w:val="32"/>
          <w:szCs w:val="32"/>
          <w:u w:val="none"/>
          <w:lang w:val="en-US" w:eastAsia="zh-CN" w:bidi="ar-SA"/>
          <w14:textFill>
            <w14:solidFill>
              <w14:schemeClr w14:val="tx1"/>
            </w14:solidFill>
          </w14:textFill>
        </w:rPr>
        <w:t>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宋体" w:cs="宋体"/>
          <w:color w:val="000000" w:themeColor="text1"/>
          <w:kern w:val="2"/>
          <w:sz w:val="32"/>
          <w:szCs w:val="32"/>
          <w:u w:val="none"/>
          <w:lang w:val="en-US" w:eastAsia="zh-CN" w:bidi="ar-SA"/>
          <w14:textFill>
            <w14:solidFill>
              <w14:schemeClr w14:val="tx1"/>
            </w14:solidFill>
          </w14:textFill>
        </w:rPr>
        <w:t>13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日，住所为湖北省武汉市汉南区纱帽街汉南大道</w:t>
      </w:r>
      <w:r>
        <w:rPr>
          <w:rFonts w:hint="eastAsia" w:eastAsia="宋体" w:cs="宋体"/>
          <w:color w:val="000000" w:themeColor="text1"/>
          <w:kern w:val="2"/>
          <w:sz w:val="32"/>
          <w:szCs w:val="32"/>
          <w:u w:val="none"/>
          <w:lang w:val="en-US" w:eastAsia="zh-CN" w:bidi="ar-SA"/>
          <w14:textFill>
            <w14:solidFill>
              <w14:schemeClr w14:val="tx1"/>
            </w14:solidFill>
          </w14:textFill>
        </w:rPr>
        <w:t>608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号，经营范围：一般项目：许可项目：建设工程监理；水利工程建设监理；水运工程监理；公路工程监理等。</w:t>
      </w:r>
    </w:p>
    <w:p w14:paraId="4ABF6CAB">
      <w:pPr>
        <w:pStyle w:val="14"/>
        <w:keepNext w:val="0"/>
        <w:keepLines w:val="0"/>
        <w:pageBreakBefore w:val="0"/>
        <w:widowControl w:val="0"/>
        <w:numPr>
          <w:ilvl w:val="0"/>
          <w:numId w:val="0"/>
        </w:numPr>
        <w:kinsoku/>
        <w:wordWrap/>
        <w:overflowPunct/>
        <w:autoSpaceDE/>
        <w:autoSpaceDN/>
        <w:bidi w:val="0"/>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4.武汉市青山城市建设有限公司。</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项目建设单位，统一信用代码：</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91420107</w:t>
      </w:r>
      <w:r>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MA</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KNU</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8</w:t>
      </w:r>
      <w:r>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HX4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，类型为其他有限责任公司，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成立于</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eastAsia="宋体" w:cs="宋体"/>
          <w:color w:val="000000" w:themeColor="text1"/>
          <w:sz w:val="32"/>
          <w:szCs w:val="32"/>
          <w:lang w:val="en-US" w:eastAsia="zh-CN"/>
          <w14:textFill>
            <w14:solidFill>
              <w14:schemeClr w14:val="tx1"/>
            </w14:solidFill>
          </w14:textFill>
        </w:rPr>
        <w:t>016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eastAsia="宋体" w:cs="宋体"/>
          <w:color w:val="000000" w:themeColor="text1"/>
          <w:sz w:val="32"/>
          <w:szCs w:val="32"/>
          <w:lang w:val="en-US" w:eastAsia="zh-CN"/>
          <w14:textFill>
            <w14:solidFill>
              <w14:schemeClr w14:val="tx1"/>
            </w14:solidFill>
          </w14:textFill>
        </w:rPr>
        <w:t>14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日，住所为武汉市青山区红钢二街</w:t>
      </w:r>
      <w:r>
        <w:rPr>
          <w:rFonts w:hint="eastAsia" w:eastAsia="宋体" w:cs="宋体"/>
          <w:color w:val="000000" w:themeColor="text1"/>
          <w:sz w:val="32"/>
          <w:szCs w:val="32"/>
          <w:lang w:val="en-US" w:eastAsia="zh-CN"/>
          <w14:textFill>
            <w14:solidFill>
              <w14:schemeClr w14:val="tx1"/>
            </w14:solidFill>
          </w14:textFill>
        </w:rPr>
        <w:t>29</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号中交红钢城</w:t>
      </w:r>
      <w:r>
        <w:rPr>
          <w:rFonts w:hint="eastAsia" w:eastAsia="宋体" w:cs="宋体"/>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栋B号楼一单元</w:t>
      </w:r>
      <w:r>
        <w:rPr>
          <w:rFonts w:hint="eastAsia" w:eastAsia="宋体" w:cs="宋体"/>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层</w:t>
      </w:r>
      <w:r>
        <w:rPr>
          <w:rFonts w:hint="eastAsia" w:eastAsia="宋体" w:cs="宋体"/>
          <w:color w:val="000000" w:themeColor="text1"/>
          <w:sz w:val="32"/>
          <w:szCs w:val="32"/>
          <w:lang w:val="en-US" w:eastAsia="zh-CN"/>
          <w14:textFill>
            <w14:solidFill>
              <w14:schemeClr w14:val="tx1"/>
            </w14:solidFill>
          </w14:textFill>
        </w:rPr>
        <w:t>12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号，经营范围：对城市建设道路、排水供水、污水处理、燃气热力、园林绿化、地下综合管廊等基础设施的开发、建设和经营管理；对三旧改造、棚户区改造等城镇化综合改造项目的开发、建设与经营管理等。持有武汉市住房保障和房屋管理局颁发的《房地产开发企业资质证书》，</w:t>
      </w:r>
      <w:r>
        <w:rPr>
          <w:rFonts w:hint="eastAsia" w:ascii="仿宋_GB2312" w:hAnsi="仿宋_GB2312" w:eastAsia="仿宋_GB2312" w:cs="仿宋_GB2312"/>
          <w:sz w:val="32"/>
          <w:szCs w:val="32"/>
          <w:lang w:val="en-US" w:eastAsia="zh-CN"/>
        </w:rPr>
        <w:t>编号：武房开〔</w:t>
      </w:r>
      <w:r>
        <w:rPr>
          <w:rFonts w:hint="eastAsia" w:eastAsia="宋体" w:cs="宋体"/>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sz w:val="32"/>
          <w:szCs w:val="32"/>
          <w:lang w:val="en-US" w:eastAsia="zh-CN"/>
        </w:rPr>
        <w:t>〕</w:t>
      </w:r>
      <w:r>
        <w:rPr>
          <w:rFonts w:hint="eastAsia" w:eastAsia="宋体" w:cs="宋体"/>
          <w:color w:val="000000" w:themeColor="text1"/>
          <w:sz w:val="32"/>
          <w:szCs w:val="32"/>
          <w:lang w:val="en-US" w:eastAsia="zh-CN"/>
          <w14:textFill>
            <w14:solidFill>
              <w14:schemeClr w14:val="tx1"/>
            </w14:solidFill>
          </w14:textFill>
        </w:rPr>
        <w:t>00508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号</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有效期至</w:t>
      </w:r>
      <w:r>
        <w:rPr>
          <w:rFonts w:hint="eastAsia" w:eastAsia="宋体" w:cs="宋体"/>
          <w:color w:val="000000" w:themeColor="text1"/>
          <w:kern w:val="2"/>
          <w:sz w:val="32"/>
          <w:szCs w:val="32"/>
          <w:u w:val="none"/>
          <w:lang w:val="en-US" w:eastAsia="zh-CN" w:bidi="ar-SA"/>
          <w14:textFill>
            <w14:solidFill>
              <w14:schemeClr w14:val="tx1"/>
            </w14:solidFill>
          </w14:textFill>
        </w:rPr>
        <w:t>2025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eastAsia="宋体" w:cs="宋体"/>
          <w:color w:val="000000" w:themeColor="text1"/>
          <w:kern w:val="2"/>
          <w:sz w:val="32"/>
          <w:szCs w:val="32"/>
          <w:u w:val="none"/>
          <w:lang w:val="en-US" w:eastAsia="zh-CN" w:bidi="ar-SA"/>
          <w14:textFill>
            <w14:solidFill>
              <w14:schemeClr w14:val="tx1"/>
            </w14:solidFill>
          </w14:textFill>
        </w:rPr>
        <w:t>12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宋体" w:cs="宋体"/>
          <w:color w:val="000000" w:themeColor="text1"/>
          <w:kern w:val="2"/>
          <w:sz w:val="32"/>
          <w:szCs w:val="32"/>
          <w:u w:val="none"/>
          <w:lang w:val="en-US" w:eastAsia="zh-CN" w:bidi="ar-SA"/>
          <w14:textFill>
            <w14:solidFill>
              <w14:schemeClr w14:val="tx1"/>
            </w14:solidFill>
          </w14:textFill>
        </w:rPr>
        <w:t>26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日。</w:t>
      </w:r>
    </w:p>
    <w:p w14:paraId="4A7F6A93">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23" w:name="_Toc16330"/>
      <w:r>
        <w:rPr>
          <w:rFonts w:hint="eastAsia" w:ascii="楷体_GB2312" w:hAnsi="楷体_GB2312" w:eastAsia="楷体_GB2312" w:cs="楷体_GB2312"/>
          <w:b/>
          <w:bCs/>
          <w:sz w:val="32"/>
          <w:szCs w:val="32"/>
          <w:lang w:val="en-US" w:eastAsia="zh-CN"/>
        </w:rPr>
        <w:t>（二）事故项目基本情况</w:t>
      </w:r>
      <w:bookmarkEnd w:id="23"/>
    </w:p>
    <w:p w14:paraId="08B7EFC8">
      <w:pPr>
        <w:pStyle w:val="8"/>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bookmarkStart w:id="24" w:name="_Toc16286"/>
      <w:bookmarkStart w:id="25" w:name="_Toc1472"/>
      <w:r>
        <w:rPr>
          <w:rFonts w:hint="eastAsia" w:ascii="仿宋_GB2312" w:hAnsi="仿宋_GB2312" w:eastAsia="仿宋_GB2312" w:cs="仿宋_GB2312"/>
          <w:sz w:val="32"/>
          <w:szCs w:val="32"/>
          <w:lang w:val="en-US" w:eastAsia="zh-CN"/>
        </w:rPr>
        <w:t>事故项目</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为青山区</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23</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街坊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建设工程总承包（</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epc</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），位于武汉市青山区冶金街</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街坊，规划净用地面积为</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6.71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万平方米，总建筑面积为</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36.79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万平方米。</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武汉市青山城市建设有限公司（以下简称“青山城建公司”）与联合体：中国一冶集团有限公司（牵头方，以下简称“一冶集团公司”）、中南建筑设计院股份有限公司（成员方）签订《建设项目工程总承包合同》。</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日，一冶集团公司与湖北裕恒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设备租赁有限公司（以下简称“湖北裕恒公司”）签订《中国一冶集团有限公司青山区</w:t>
      </w:r>
      <w:r>
        <w:rPr>
          <w:rFonts w:hint="eastAsia" w:ascii="宋体" w:hAnsi="宋体" w:eastAsia="宋体" w:cs="宋体"/>
          <w:color w:val="000000" w:themeColor="text1"/>
          <w:sz w:val="32"/>
          <w:szCs w:val="32"/>
          <w:highlight w:val="none"/>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街坊建设工程总承包（</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epc</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）项目塔吊设备租赁合同》。</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2022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年</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月</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日，青山城建公司与南方咨询（湖北）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有限公司（以下简称“南方咨询公司”）签订了《建设工程监理合同(青山区</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街坊建设项目监理）》。</w:t>
      </w:r>
      <w:bookmarkEnd w:id="24"/>
      <w:bookmarkEnd w:id="25"/>
    </w:p>
    <w:p w14:paraId="413A92A8">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26" w:name="_Toc25184"/>
      <w:r>
        <w:rPr>
          <w:rFonts w:hint="eastAsia" w:ascii="楷体_GB2312" w:hAnsi="楷体_GB2312" w:eastAsia="楷体_GB2312" w:cs="楷体_GB2312"/>
          <w:b/>
          <w:bCs/>
          <w:sz w:val="32"/>
          <w:szCs w:val="32"/>
          <w:lang w:val="en-US" w:eastAsia="zh-CN"/>
        </w:rPr>
        <w:t>（三）事故发生单位安全管理情况</w:t>
      </w:r>
      <w:bookmarkEnd w:id="26"/>
    </w:p>
    <w:p w14:paraId="057461C0">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湖北裕恒公司建立了《安全生产管理手册》，包括公司安全生产委员会、安全生产管理目标、安全生产责任制度、安全生产责任制考核制度等制度规范，相关作业人员均具备相应的特种作业操作资格证。</w:t>
      </w:r>
    </w:p>
    <w:p w14:paraId="634BD0D0">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27" w:name="_Toc23397"/>
      <w:r>
        <w:rPr>
          <w:rFonts w:hint="eastAsia" w:ascii="楷体_GB2312" w:hAnsi="楷体_GB2312" w:eastAsia="楷体_GB2312" w:cs="楷体_GB2312"/>
          <w:b/>
          <w:bCs/>
          <w:sz w:val="32"/>
          <w:szCs w:val="32"/>
          <w:lang w:val="en-US" w:eastAsia="zh-CN"/>
        </w:rPr>
        <w:t>（四）事故发生经过</w:t>
      </w:r>
      <w:bookmarkEnd w:id="27"/>
    </w:p>
    <w:p w14:paraId="019C3D3B">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宋体" w:hAnsi="宋体" w:eastAsia="宋体" w:cs="宋体"/>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日，湖北裕恒公司塔吊拆除班组按照前期安排对青山区</w:t>
      </w:r>
      <w:r>
        <w:rPr>
          <w:rFonts w:hint="eastAsia" w:ascii="宋体" w:hAnsi="宋体" w:eastAsia="宋体" w:cs="宋体"/>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街坊建设工程总承包（</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epc</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）项目（以下简称“</w:t>
      </w:r>
      <w:r>
        <w:rPr>
          <w:rFonts w:hint="eastAsia" w:ascii="宋体" w:hAnsi="宋体" w:eastAsia="宋体" w:cs="宋体"/>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街坊工程项目”）</w:t>
      </w:r>
      <w:r>
        <w:rPr>
          <w:rFonts w:hint="eastAsia" w:ascii="宋体" w:hAnsi="宋体" w:eastAsia="宋体" w:cs="宋体"/>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#塔吊进行拆除作业。</w:t>
      </w:r>
      <w:r>
        <w:rPr>
          <w:rFonts w:hint="eastAsia" w:ascii="宋体" w:hAnsi="宋体" w:eastAsia="宋体" w:cs="宋体"/>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w:t>
      </w:r>
      <w:r>
        <w:rPr>
          <w:rFonts w:hint="eastAsia" w:ascii="宋体" w:hAnsi="宋体" w:eastAsia="宋体" w:cs="宋体"/>
          <w:color w:val="000000" w:themeColor="text1"/>
          <w:sz w:val="32"/>
          <w:szCs w:val="32"/>
          <w:lang w:val="en-US" w:eastAsia="zh-CN"/>
          <w14:textFill>
            <w14:solidFill>
              <w14:schemeClr w14:val="tx1"/>
            </w14:solidFill>
          </w14:textFill>
        </w:rPr>
        <w:t>40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许，作业人员李某贤和工友听到塔吊起重臂有异响，后李某贤爬上起重臂进入载重小车，坐上载重小车查看异响情况。在异响位置处，李某贤解开安全绳，从载重小车内部翻越至前进方向左外侧，准备重新挂安全绳时坠落至单元门门头墙顶上受伤。</w:t>
      </w:r>
    </w:p>
    <w:p w14:paraId="6CA7B62D">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28" w:name="_Toc13400"/>
      <w:r>
        <w:rPr>
          <w:rFonts w:hint="eastAsia" w:ascii="楷体_GB2312" w:hAnsi="楷体_GB2312" w:eastAsia="楷体_GB2312" w:cs="楷体_GB2312"/>
          <w:b/>
          <w:bCs/>
          <w:sz w:val="32"/>
          <w:szCs w:val="32"/>
          <w:lang w:val="en-US" w:eastAsia="zh-CN"/>
        </w:rPr>
        <w:t>（五）事故现场情况</w:t>
      </w:r>
      <w:bookmarkEnd w:id="28"/>
    </w:p>
    <w:p w14:paraId="2284AA8A">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宋体" w:hAnsi="宋体" w:eastAsia="宋体" w:cs="宋体"/>
          <w:color w:val="000000" w:themeColor="text1"/>
          <w:kern w:val="2"/>
          <w:sz w:val="32"/>
          <w:szCs w:val="32"/>
          <w:u w:val="none" w:color="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本次事故地点为</w:t>
      </w:r>
      <w:r>
        <w:rPr>
          <w:rFonts w:hint="eastAsia" w:ascii="宋体" w:hAnsi="宋体" w:eastAsia="宋体" w:cs="宋体"/>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街坊工程项目</w:t>
      </w:r>
      <w:r>
        <w:rPr>
          <w:rFonts w:hint="eastAsia" w:ascii="宋体" w:hAnsi="宋体" w:eastAsia="宋体" w:cs="宋体"/>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#塔吊处（图</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），事故现场照片（图</w:t>
      </w:r>
      <w:r>
        <w:rPr>
          <w:rFonts w:hint="eastAsia" w:ascii="宋体" w:hAnsi="宋体" w:eastAsia="宋体" w:cs="宋体"/>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，图</w:t>
      </w:r>
      <w:r>
        <w:rPr>
          <w:rFonts w:hint="eastAsia" w:ascii="宋体" w:hAnsi="宋体" w:eastAsia="宋体" w:cs="宋体"/>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1D4BC08D">
      <w:pPr>
        <w:keepNext w:val="0"/>
        <w:keepLines w:val="0"/>
        <w:pageBreakBefore w:val="0"/>
        <w:widowControl w:val="0"/>
        <w:kinsoku/>
        <w:wordWrap/>
        <w:overflowPunct/>
        <w:autoSpaceDE/>
        <w:autoSpaceDN/>
        <w:bidi w:val="0"/>
        <w:spacing w:line="560" w:lineRule="exact"/>
        <w:jc w:val="both"/>
        <w:textAlignment w:val="auto"/>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pPr>
    </w:p>
    <w:p w14:paraId="7BA87EED">
      <w:pPr>
        <w:keepNext w:val="0"/>
        <w:keepLines w:val="0"/>
        <w:pageBreakBefore w:val="0"/>
        <w:widowControl w:val="0"/>
        <w:kinsoku/>
        <w:wordWrap/>
        <w:overflowPunct/>
        <w:autoSpaceDE/>
        <w:autoSpaceDN/>
        <w:bidi w:val="0"/>
        <w:spacing w:line="560" w:lineRule="exact"/>
        <w:jc w:val="both"/>
        <w:textAlignment w:val="auto"/>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pP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drawing>
          <wp:anchor distT="0" distB="0" distL="114300" distR="114300" simplePos="0" relativeHeight="251659264" behindDoc="0" locked="0" layoutInCell="1" allowOverlap="1">
            <wp:simplePos x="0" y="0"/>
            <wp:positionH relativeFrom="column">
              <wp:posOffset>-51435</wp:posOffset>
            </wp:positionH>
            <wp:positionV relativeFrom="paragraph">
              <wp:posOffset>542290</wp:posOffset>
            </wp:positionV>
            <wp:extent cx="5721985" cy="3731895"/>
            <wp:effectExtent l="0" t="0" r="12065" b="1905"/>
            <wp:wrapSquare wrapText="bothSides"/>
            <wp:docPr id="1" name="图片 1" descr="ada9d0284174b36e2d58f42a14a0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a9d0284174b36e2d58f42a14a03cf"/>
                    <pic:cNvPicPr>
                      <a:picLocks noChangeAspect="1"/>
                    </pic:cNvPicPr>
                  </pic:nvPicPr>
                  <pic:blipFill>
                    <a:blip r:embed="rId7"/>
                    <a:stretch>
                      <a:fillRect/>
                    </a:stretch>
                  </pic:blipFill>
                  <pic:spPr>
                    <a:xfrm>
                      <a:off x="0" y="0"/>
                      <a:ext cx="5721985" cy="3731895"/>
                    </a:xfrm>
                    <a:prstGeom prst="rect">
                      <a:avLst/>
                    </a:prstGeom>
                  </pic:spPr>
                </pic:pic>
              </a:graphicData>
            </a:graphic>
          </wp:anchor>
        </w:drawing>
      </w:r>
    </w:p>
    <w:p w14:paraId="678B8962">
      <w:pPr>
        <w:keepNext w:val="0"/>
        <w:keepLines w:val="0"/>
        <w:pageBreakBefore w:val="0"/>
        <w:widowControl w:val="0"/>
        <w:kinsoku/>
        <w:wordWrap/>
        <w:overflowPunct/>
        <w:autoSpaceDE/>
        <w:autoSpaceDN/>
        <w:bidi w:val="0"/>
        <w:spacing w:line="560" w:lineRule="exact"/>
        <w:ind w:firstLine="2240" w:firstLineChars="700"/>
        <w:jc w:val="both"/>
        <w:textAlignment w:val="auto"/>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05E43F7A">
      <w:pPr>
        <w:keepNext w:val="0"/>
        <w:keepLines w:val="0"/>
        <w:pageBreakBefore w:val="0"/>
        <w:widowControl w:val="0"/>
        <w:kinsoku/>
        <w:wordWrap/>
        <w:overflowPunct/>
        <w:autoSpaceDE/>
        <w:autoSpaceDN/>
        <w:bidi w:val="0"/>
        <w:spacing w:line="560" w:lineRule="exact"/>
        <w:ind w:firstLine="2240" w:firstLineChars="700"/>
        <w:jc w:val="both"/>
        <w:textAlignment w:val="auto"/>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p>
    <w:p w14:paraId="6E8D2029">
      <w:pPr>
        <w:keepNext w:val="0"/>
        <w:keepLines w:val="0"/>
        <w:pageBreakBefore w:val="0"/>
        <w:widowControl w:val="0"/>
        <w:kinsoku/>
        <w:wordWrap/>
        <w:overflowPunct/>
        <w:autoSpaceDE/>
        <w:autoSpaceDN/>
        <w:bidi w:val="0"/>
        <w:spacing w:line="560" w:lineRule="exact"/>
        <w:ind w:firstLine="2240" w:firstLineChars="700"/>
        <w:jc w:val="both"/>
        <w:textAlignment w:val="auto"/>
        <w:rPr>
          <w:rFonts w:hint="default"/>
          <w:lang w:val="en-US" w:eastAsia="zh-CN"/>
        </w:rPr>
      </w:pP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图</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事故发生位置平面图</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w:t>
      </w:r>
    </w:p>
    <w:p w14:paraId="03D6DB18">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p>
    <w:p w14:paraId="55894877">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p>
    <w:p w14:paraId="367D6F80">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p>
    <w:p w14:paraId="1753C18C">
      <w:pPr>
        <w:pStyle w:val="8"/>
        <w:keepNext w:val="0"/>
        <w:keepLines w:val="0"/>
        <w:pageBreakBefore w:val="0"/>
        <w:widowControl w:val="0"/>
        <w:kinsoku/>
        <w:wordWrap/>
        <w:overflowPunct/>
        <w:autoSpaceDE/>
        <w:autoSpaceDN/>
        <w:bidi w:val="0"/>
        <w:spacing w:line="560" w:lineRule="exact"/>
        <w:ind w:left="0" w:leftChars="0" w:firstLine="0" w:firstLineChars="0"/>
        <w:jc w:val="both"/>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drawing>
          <wp:anchor distT="0" distB="0" distL="114300" distR="114300" simplePos="0" relativeHeight="251660288" behindDoc="0" locked="0" layoutInCell="1" allowOverlap="1">
            <wp:simplePos x="0" y="0"/>
            <wp:positionH relativeFrom="column">
              <wp:posOffset>715010</wp:posOffset>
            </wp:positionH>
            <wp:positionV relativeFrom="paragraph">
              <wp:posOffset>25400</wp:posOffset>
            </wp:positionV>
            <wp:extent cx="3780155" cy="3420110"/>
            <wp:effectExtent l="0" t="0" r="10795" b="8890"/>
            <wp:wrapSquare wrapText="bothSides"/>
            <wp:docPr id="4" name="图片 4" descr="1733988282836"/>
            <wp:cNvGraphicFramePr/>
            <a:graphic xmlns:a="http://schemas.openxmlformats.org/drawingml/2006/main">
              <a:graphicData uri="http://schemas.openxmlformats.org/drawingml/2006/picture">
                <pic:pic xmlns:pic="http://schemas.openxmlformats.org/drawingml/2006/picture">
                  <pic:nvPicPr>
                    <pic:cNvPr id="4" name="图片 4" descr="1733988282836"/>
                    <pic:cNvPicPr/>
                  </pic:nvPicPr>
                  <pic:blipFill>
                    <a:blip r:embed="rId8"/>
                    <a:stretch>
                      <a:fillRect/>
                    </a:stretch>
                  </pic:blipFill>
                  <pic:spPr>
                    <a:xfrm>
                      <a:off x="0" y="0"/>
                      <a:ext cx="3780155" cy="3420110"/>
                    </a:xfrm>
                    <a:prstGeom prst="rect">
                      <a:avLst/>
                    </a:prstGeom>
                  </pic:spPr>
                </pic:pic>
              </a:graphicData>
            </a:graphic>
          </wp:anchor>
        </w:drawing>
      </w:r>
    </w:p>
    <w:p w14:paraId="5790E28E">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p>
    <w:p w14:paraId="1A43410D">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p>
    <w:p w14:paraId="04B4686E">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p>
    <w:p w14:paraId="12D306E8">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p>
    <w:p w14:paraId="34027A2D">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p>
    <w:p w14:paraId="39BCEA06">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p>
    <w:p w14:paraId="748D4232">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p>
    <w:p w14:paraId="54063825">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p>
    <w:p w14:paraId="2D6ADC28">
      <w:pPr>
        <w:pStyle w:val="8"/>
        <w:keepNext w:val="0"/>
        <w:keepLines w:val="0"/>
        <w:pageBreakBefore w:val="0"/>
        <w:widowControl w:val="0"/>
        <w:kinsoku/>
        <w:wordWrap/>
        <w:overflowPunct/>
        <w:autoSpaceDE/>
        <w:autoSpaceDN/>
        <w:bidi w:val="0"/>
        <w:spacing w:line="560" w:lineRule="exact"/>
        <w:ind w:left="0" w:leftChars="0" w:firstLine="0" w:firstLineChars="0"/>
        <w:jc w:val="both"/>
        <w:textAlignment w:val="auto"/>
        <w:outlineLvl w:val="1"/>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pPr>
    </w:p>
    <w:p w14:paraId="40443715">
      <w:pPr>
        <w:pStyle w:val="8"/>
        <w:keepNext w:val="0"/>
        <w:keepLines w:val="0"/>
        <w:pageBreakBefore w:val="0"/>
        <w:widowControl w:val="0"/>
        <w:kinsoku/>
        <w:wordWrap/>
        <w:overflowPunct/>
        <w:autoSpaceDE/>
        <w:autoSpaceDN/>
        <w:bidi w:val="0"/>
        <w:spacing w:line="560" w:lineRule="exact"/>
        <w:ind w:left="0" w:leftChars="0" w:firstLine="0" w:firstLineChars="0"/>
        <w:jc w:val="center"/>
        <w:textAlignment w:val="auto"/>
        <w:outlineLvl w:val="1"/>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pPr>
      <w:bookmarkStart w:id="29" w:name="_Toc4825"/>
      <w:bookmarkStart w:id="30" w:name="_Toc5810"/>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图</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2-1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事故现场照片</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w:t>
      </w:r>
      <w:bookmarkEnd w:id="29"/>
      <w:bookmarkEnd w:id="30"/>
    </w:p>
    <w:p w14:paraId="21DAA532">
      <w:pPr>
        <w:keepNext w:val="0"/>
        <w:keepLines w:val="0"/>
        <w:pageBreakBefore w:val="0"/>
        <w:widowControl w:val="0"/>
        <w:kinsoku/>
        <w:wordWrap/>
        <w:overflowPunct/>
        <w:autoSpaceDE/>
        <w:autoSpaceDN/>
        <w:bidi w:val="0"/>
        <w:spacing w:line="560" w:lineRule="exact"/>
        <w:jc w:val="both"/>
        <w:textAlignment w:val="auto"/>
        <w:rPr>
          <w:rFonts w:hint="eastAsia"/>
          <w:lang w:val="en-US" w:eastAsia="zh-CN"/>
        </w:rPr>
      </w:pPr>
      <w:r>
        <w:drawing>
          <wp:anchor distT="0" distB="0" distL="114300" distR="114300" simplePos="0" relativeHeight="251661312" behindDoc="0" locked="0" layoutInCell="1" allowOverlap="1">
            <wp:simplePos x="0" y="0"/>
            <wp:positionH relativeFrom="column">
              <wp:posOffset>839470</wp:posOffset>
            </wp:positionH>
            <wp:positionV relativeFrom="paragraph">
              <wp:posOffset>37465</wp:posOffset>
            </wp:positionV>
            <wp:extent cx="3780155" cy="3408045"/>
            <wp:effectExtent l="0" t="0" r="10795" b="190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3780155" cy="3408045"/>
                    </a:xfrm>
                    <a:prstGeom prst="rect">
                      <a:avLst/>
                    </a:prstGeom>
                    <a:noFill/>
                    <a:ln>
                      <a:noFill/>
                    </a:ln>
                  </pic:spPr>
                </pic:pic>
              </a:graphicData>
            </a:graphic>
          </wp:anchor>
        </w:drawing>
      </w:r>
    </w:p>
    <w:p w14:paraId="41790B0C">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p>
    <w:p w14:paraId="5D728C4E">
      <w:pPr>
        <w:keepNext w:val="0"/>
        <w:keepLines w:val="0"/>
        <w:pageBreakBefore w:val="0"/>
        <w:widowControl w:val="0"/>
        <w:kinsoku/>
        <w:wordWrap/>
        <w:overflowPunct/>
        <w:autoSpaceDE/>
        <w:autoSpaceDN/>
        <w:bidi w:val="0"/>
        <w:spacing w:line="560" w:lineRule="exact"/>
        <w:jc w:val="both"/>
        <w:textAlignment w:val="auto"/>
        <w:rPr>
          <w:rFonts w:hint="eastAsia" w:ascii="楷体_GB2312" w:hAnsi="楷体_GB2312" w:eastAsia="楷体_GB2312" w:cs="楷体_GB2312"/>
          <w:b/>
          <w:bCs/>
          <w:sz w:val="32"/>
          <w:szCs w:val="32"/>
          <w:lang w:val="en-US" w:eastAsia="zh-CN"/>
        </w:rPr>
      </w:pPr>
    </w:p>
    <w:p w14:paraId="4D3452F1">
      <w:pPr>
        <w:pStyle w:val="14"/>
        <w:keepNext w:val="0"/>
        <w:keepLines w:val="0"/>
        <w:pageBreakBefore w:val="0"/>
        <w:widowControl w:val="0"/>
        <w:kinsoku/>
        <w:wordWrap/>
        <w:overflowPunct/>
        <w:autoSpaceDE/>
        <w:autoSpaceDN/>
        <w:bidi w:val="0"/>
        <w:spacing w:line="560" w:lineRule="exact"/>
        <w:jc w:val="both"/>
        <w:textAlignment w:val="auto"/>
        <w:rPr>
          <w:rFonts w:hint="eastAsia" w:ascii="楷体_GB2312" w:hAnsi="楷体_GB2312" w:eastAsia="楷体_GB2312" w:cs="楷体_GB2312"/>
          <w:b/>
          <w:bCs/>
          <w:sz w:val="32"/>
          <w:szCs w:val="32"/>
          <w:lang w:val="en-US" w:eastAsia="zh-CN"/>
        </w:rPr>
      </w:pPr>
    </w:p>
    <w:p w14:paraId="6C1294ED">
      <w:pPr>
        <w:pStyle w:val="14"/>
        <w:keepNext w:val="0"/>
        <w:keepLines w:val="0"/>
        <w:pageBreakBefore w:val="0"/>
        <w:widowControl w:val="0"/>
        <w:kinsoku/>
        <w:wordWrap/>
        <w:overflowPunct/>
        <w:autoSpaceDE/>
        <w:autoSpaceDN/>
        <w:bidi w:val="0"/>
        <w:spacing w:line="560" w:lineRule="exact"/>
        <w:jc w:val="both"/>
        <w:textAlignment w:val="auto"/>
        <w:rPr>
          <w:rFonts w:hint="eastAsia" w:ascii="楷体_GB2312" w:hAnsi="楷体_GB2312" w:eastAsia="楷体_GB2312" w:cs="楷体_GB2312"/>
          <w:b/>
          <w:bCs/>
          <w:sz w:val="32"/>
          <w:szCs w:val="32"/>
          <w:lang w:val="en-US" w:eastAsia="zh-CN"/>
        </w:rPr>
      </w:pPr>
    </w:p>
    <w:p w14:paraId="351D6210">
      <w:pPr>
        <w:pStyle w:val="14"/>
        <w:keepNext w:val="0"/>
        <w:keepLines w:val="0"/>
        <w:pageBreakBefore w:val="0"/>
        <w:widowControl w:val="0"/>
        <w:kinsoku/>
        <w:wordWrap/>
        <w:overflowPunct/>
        <w:autoSpaceDE/>
        <w:autoSpaceDN/>
        <w:bidi w:val="0"/>
        <w:spacing w:line="560" w:lineRule="exact"/>
        <w:jc w:val="both"/>
        <w:textAlignment w:val="auto"/>
        <w:rPr>
          <w:rFonts w:hint="eastAsia" w:ascii="楷体_GB2312" w:hAnsi="楷体_GB2312" w:eastAsia="楷体_GB2312" w:cs="楷体_GB2312"/>
          <w:b/>
          <w:bCs/>
          <w:sz w:val="32"/>
          <w:szCs w:val="32"/>
          <w:lang w:val="en-US" w:eastAsia="zh-CN"/>
        </w:rPr>
      </w:pPr>
    </w:p>
    <w:p w14:paraId="56E83A22">
      <w:pPr>
        <w:pStyle w:val="14"/>
        <w:keepNext w:val="0"/>
        <w:keepLines w:val="0"/>
        <w:pageBreakBefore w:val="0"/>
        <w:widowControl w:val="0"/>
        <w:kinsoku/>
        <w:wordWrap/>
        <w:overflowPunct/>
        <w:autoSpaceDE/>
        <w:autoSpaceDN/>
        <w:bidi w:val="0"/>
        <w:spacing w:line="560" w:lineRule="exact"/>
        <w:jc w:val="both"/>
        <w:textAlignment w:val="auto"/>
        <w:rPr>
          <w:rFonts w:hint="eastAsia" w:ascii="楷体_GB2312" w:hAnsi="楷体_GB2312" w:eastAsia="楷体_GB2312" w:cs="楷体_GB2312"/>
          <w:b/>
          <w:bCs/>
          <w:sz w:val="32"/>
          <w:szCs w:val="32"/>
          <w:lang w:val="en-US" w:eastAsia="zh-CN"/>
        </w:rPr>
      </w:pPr>
    </w:p>
    <w:p w14:paraId="6675C104">
      <w:pPr>
        <w:pStyle w:val="14"/>
        <w:keepNext w:val="0"/>
        <w:keepLines w:val="0"/>
        <w:pageBreakBefore w:val="0"/>
        <w:widowControl w:val="0"/>
        <w:kinsoku/>
        <w:wordWrap/>
        <w:overflowPunct/>
        <w:autoSpaceDE/>
        <w:autoSpaceDN/>
        <w:bidi w:val="0"/>
        <w:spacing w:line="560" w:lineRule="exact"/>
        <w:jc w:val="both"/>
        <w:textAlignment w:val="auto"/>
        <w:rPr>
          <w:rFonts w:hint="eastAsia" w:ascii="楷体_GB2312" w:hAnsi="楷体_GB2312" w:eastAsia="楷体_GB2312" w:cs="楷体_GB2312"/>
          <w:b/>
          <w:bCs/>
          <w:sz w:val="32"/>
          <w:szCs w:val="32"/>
          <w:lang w:val="en-US" w:eastAsia="zh-CN"/>
        </w:rPr>
      </w:pPr>
    </w:p>
    <w:p w14:paraId="145C18C8">
      <w:pPr>
        <w:pStyle w:val="14"/>
        <w:keepNext w:val="0"/>
        <w:keepLines w:val="0"/>
        <w:pageBreakBefore w:val="0"/>
        <w:widowControl w:val="0"/>
        <w:kinsoku/>
        <w:wordWrap/>
        <w:overflowPunct/>
        <w:autoSpaceDE/>
        <w:autoSpaceDN/>
        <w:bidi w:val="0"/>
        <w:spacing w:line="560" w:lineRule="exact"/>
        <w:jc w:val="both"/>
        <w:textAlignment w:val="auto"/>
        <w:rPr>
          <w:rFonts w:hint="eastAsia" w:ascii="楷体_GB2312" w:hAnsi="楷体_GB2312" w:eastAsia="楷体_GB2312" w:cs="楷体_GB2312"/>
          <w:b/>
          <w:bCs/>
          <w:sz w:val="32"/>
          <w:szCs w:val="32"/>
          <w:lang w:val="en-US" w:eastAsia="zh-CN"/>
        </w:rPr>
      </w:pPr>
    </w:p>
    <w:p w14:paraId="7EF54D88">
      <w:pPr>
        <w:pStyle w:val="14"/>
        <w:keepNext w:val="0"/>
        <w:keepLines w:val="0"/>
        <w:pageBreakBefore w:val="0"/>
        <w:widowControl w:val="0"/>
        <w:kinsoku/>
        <w:wordWrap/>
        <w:overflowPunct/>
        <w:autoSpaceDE/>
        <w:autoSpaceDN/>
        <w:bidi w:val="0"/>
        <w:spacing w:line="560" w:lineRule="exact"/>
        <w:jc w:val="both"/>
        <w:textAlignment w:val="auto"/>
        <w:rPr>
          <w:rFonts w:hint="eastAsia" w:ascii="楷体_GB2312" w:hAnsi="楷体_GB2312" w:eastAsia="楷体_GB2312" w:cs="楷体_GB2312"/>
          <w:b/>
          <w:bCs/>
          <w:sz w:val="32"/>
          <w:szCs w:val="32"/>
          <w:lang w:val="en-US" w:eastAsia="zh-CN"/>
        </w:rPr>
      </w:pPr>
    </w:p>
    <w:p w14:paraId="4893A8CB">
      <w:pPr>
        <w:pStyle w:val="8"/>
        <w:keepNext w:val="0"/>
        <w:keepLines w:val="0"/>
        <w:pageBreakBefore w:val="0"/>
        <w:widowControl w:val="0"/>
        <w:kinsoku/>
        <w:wordWrap/>
        <w:overflowPunct/>
        <w:autoSpaceDE/>
        <w:autoSpaceDN/>
        <w:bidi w:val="0"/>
        <w:spacing w:line="560" w:lineRule="exact"/>
        <w:ind w:left="0" w:leftChars="0" w:firstLine="0" w:firstLineChars="0"/>
        <w:jc w:val="center"/>
        <w:textAlignment w:val="auto"/>
        <w:outlineLvl w:val="1"/>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pPr>
      <w:bookmarkStart w:id="31" w:name="_Toc24791"/>
      <w:bookmarkStart w:id="32" w:name="_Toc31403"/>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图</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2-2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事故现场照片</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w:t>
      </w:r>
      <w:bookmarkEnd w:id="31"/>
      <w:bookmarkEnd w:id="32"/>
    </w:p>
    <w:p w14:paraId="0EBDDD28">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33" w:name="_Toc9734"/>
      <w:r>
        <w:rPr>
          <w:rFonts w:hint="eastAsia" w:ascii="楷体_GB2312" w:hAnsi="楷体_GB2312" w:eastAsia="楷体_GB2312" w:cs="楷体_GB2312"/>
          <w:b/>
          <w:bCs/>
          <w:sz w:val="32"/>
          <w:szCs w:val="32"/>
          <w:lang w:val="en-US" w:eastAsia="zh-CN"/>
        </w:rPr>
        <w:t>（六）人员伤亡和直接经济损失情况</w:t>
      </w:r>
      <w:bookmarkEnd w:id="33"/>
    </w:p>
    <w:p w14:paraId="5FD6F230">
      <w:pPr>
        <w:keepNext w:val="0"/>
        <w:keepLines w:val="0"/>
        <w:pageBreakBefore w:val="0"/>
        <w:widowControl w:val="0"/>
        <w:kinsoku/>
        <w:wordWrap/>
        <w:overflowPunct/>
        <w:autoSpaceDE/>
        <w:autoSpaceDN/>
        <w:bidi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1.人员伤亡情况。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事故造成</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人死亡：李某贤，为湖北裕恒公司员工，岗位为建筑起重机械拆卸工，持有建筑施工特种作业操作资格证。</w:t>
      </w:r>
    </w:p>
    <w:p w14:paraId="1D545127">
      <w:pPr>
        <w:keepNext w:val="0"/>
        <w:keepLines w:val="0"/>
        <w:pageBreakBefore w:val="0"/>
        <w:widowControl w:val="0"/>
        <w:kinsoku/>
        <w:wordWrap/>
        <w:overflowPunct/>
        <w:autoSpaceDE/>
        <w:autoSpaceDN/>
        <w:bidi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2.事故损失情况。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事故造成直接经济损失为</w:t>
      </w:r>
      <w:r>
        <w:rPr>
          <w:rFonts w:hint="eastAsia" w:ascii="宋体" w:hAnsi="宋体" w:eastAsia="宋体" w:cs="宋体"/>
          <w:color w:val="000000" w:themeColor="text1"/>
          <w:sz w:val="32"/>
          <w:szCs w:val="32"/>
          <w:lang w:val="en-US" w:eastAsia="zh-CN"/>
          <w14:textFill>
            <w14:solidFill>
              <w14:schemeClr w14:val="tx1"/>
            </w14:solidFill>
          </w14:textFill>
        </w:rPr>
        <w:t>175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万余元。</w:t>
      </w:r>
    </w:p>
    <w:p w14:paraId="6ACEFE70">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34" w:name="_Toc13458"/>
      <w:r>
        <w:rPr>
          <w:rFonts w:hint="eastAsia" w:ascii="楷体_GB2312" w:hAnsi="楷体_GB2312" w:eastAsia="楷体_GB2312" w:cs="楷体_GB2312"/>
          <w:b/>
          <w:bCs/>
          <w:sz w:val="32"/>
          <w:szCs w:val="32"/>
          <w:lang w:val="en-US" w:eastAsia="zh-CN"/>
        </w:rPr>
        <w:t>（七）其他情况</w:t>
      </w:r>
      <w:bookmarkEnd w:id="34"/>
    </w:p>
    <w:p w14:paraId="6C2220A0">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1.事发塔吊编号为</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10</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#，型号为QTZP</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125</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(PT</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6015</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B-</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8</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)，臂长</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42.5</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m，塔机高度</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143.6</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m。</w:t>
      </w:r>
    </w:p>
    <w:p w14:paraId="2037E25C">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2.</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2024</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年</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10</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湖北裕恒公司编制的《塔吊拆卸专项施工方案》报建设方及监理方同意，</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计划于</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2024</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年</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11</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月对</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10</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#塔吊进行拆卸，拆卸周期为</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5</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天，事发当天属于施工第</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天，拆卸内容为降节和拆卸附墙。</w:t>
      </w:r>
    </w:p>
    <w:p w14:paraId="4B7160A5">
      <w:pPr>
        <w:pStyle w:val="14"/>
        <w:keepNext w:val="0"/>
        <w:keepLines w:val="0"/>
        <w:pageBreakBefore w:val="0"/>
        <w:widowControl w:val="0"/>
        <w:kinsoku/>
        <w:wordWrap/>
        <w:overflowPunct/>
        <w:autoSpaceDE/>
        <w:autoSpaceDN/>
        <w:bidi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3.青山城建公司、一冶集团公司和南方咨询公司均建立了本公司安全生产规章制度，对相关人员进行了安全教育培训，并派专人对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湖北裕恒公司进行的塔吊拆除作业过程进行现场安全监管</w:t>
      </w: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w:t>
      </w:r>
    </w:p>
    <w:p w14:paraId="278327E6">
      <w:pPr>
        <w:pStyle w:val="6"/>
        <w:keepNext w:val="0"/>
        <w:keepLines w:val="0"/>
        <w:pageBreakBefore w:val="0"/>
        <w:widowControl w:val="0"/>
        <w:kinsoku/>
        <w:wordWrap/>
        <w:overflowPunct/>
        <w:autoSpaceDE/>
        <w:autoSpaceDN/>
        <w:bidi w:val="0"/>
        <w:spacing w:line="560" w:lineRule="exact"/>
        <w:ind w:firstLine="640" w:firstLineChars="200"/>
        <w:jc w:val="both"/>
        <w:textAlignment w:val="auto"/>
        <w:outlineLvl w:val="0"/>
        <w:rPr>
          <w:rFonts w:hint="eastAsia" w:ascii="黑体" w:hAnsi="黑体" w:eastAsia="黑体" w:cs="黑体"/>
          <w:sz w:val="32"/>
          <w:szCs w:val="32"/>
          <w:lang w:val="en-US" w:eastAsia="zh-CN"/>
        </w:rPr>
      </w:pPr>
      <w:bookmarkStart w:id="35" w:name="_Toc21464"/>
      <w:r>
        <w:rPr>
          <w:rFonts w:hint="eastAsia" w:ascii="黑体" w:hAnsi="黑体" w:eastAsia="黑体" w:cs="黑体"/>
          <w:sz w:val="32"/>
          <w:szCs w:val="32"/>
          <w:lang w:val="en-US" w:eastAsia="zh-CN"/>
        </w:rPr>
        <w:t>二、事故应急处置及评估情况</w:t>
      </w:r>
      <w:bookmarkEnd w:id="35"/>
    </w:p>
    <w:p w14:paraId="3D4069AE">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36" w:name="_Toc9656"/>
      <w:r>
        <w:rPr>
          <w:rFonts w:hint="eastAsia" w:ascii="楷体_GB2312" w:hAnsi="楷体_GB2312" w:eastAsia="楷体_GB2312" w:cs="楷体_GB2312"/>
          <w:b/>
          <w:bCs/>
          <w:sz w:val="32"/>
          <w:szCs w:val="32"/>
          <w:lang w:val="en-US" w:eastAsia="zh-CN"/>
        </w:rPr>
        <w:t>（一）事故信息接报及响应情况</w:t>
      </w:r>
      <w:bookmarkEnd w:id="36"/>
    </w:p>
    <w:p w14:paraId="44961E84">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事故发生后，现场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人员拨打</w:t>
      </w:r>
      <w:r>
        <w:rPr>
          <w:rFonts w:hint="eastAsia" w:ascii="宋体" w:hAnsi="宋体" w:eastAsia="宋体" w:cs="宋体"/>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急救电话。</w:t>
      </w:r>
      <w:r>
        <w:rPr>
          <w:rFonts w:hint="eastAsia" w:ascii="宋体" w:hAnsi="宋体" w:eastAsia="宋体" w:cs="宋体"/>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w:t>
      </w:r>
      <w:r>
        <w:rPr>
          <w:rFonts w:hint="eastAsia" w:ascii="宋体" w:hAnsi="宋体" w:eastAsia="宋体" w:cs="宋体"/>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急救中心将信息上报至城运平台。</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分许，</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急救中心到达现场。</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点</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54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分，城运平台将信息上报至区委区政府总值班室。</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分，区应急管理局接区委区政府总值班室通知后赶赴现场。区公安分局、区资建局和冶金街道办事处接报后均立即组织人员赶赴现场。</w:t>
      </w:r>
    </w:p>
    <w:p w14:paraId="4CC4A9B5">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37" w:name="_Toc12204"/>
      <w:r>
        <w:rPr>
          <w:rFonts w:hint="eastAsia" w:ascii="楷体_GB2312" w:hAnsi="楷体_GB2312" w:eastAsia="楷体_GB2312" w:cs="楷体_GB2312"/>
          <w:b/>
          <w:bCs/>
          <w:sz w:val="32"/>
          <w:szCs w:val="32"/>
          <w:lang w:val="en-US" w:eastAsia="zh-CN"/>
        </w:rPr>
        <w:t>（二）事故现场应急处置情况</w:t>
      </w:r>
      <w:bookmarkEnd w:id="37"/>
    </w:p>
    <w:p w14:paraId="5C5B46A6">
      <w:pPr>
        <w:pStyle w:val="8"/>
        <w:keepNext w:val="0"/>
        <w:keepLines w:val="0"/>
        <w:pageBreakBefore w:val="0"/>
        <w:widowControl w:val="0"/>
        <w:kinsoku/>
        <w:wordWrap/>
        <w:overflowPunct/>
        <w:autoSpaceDE/>
        <w:autoSpaceDN/>
        <w:bidi w:val="0"/>
        <w:spacing w:line="560" w:lineRule="exact"/>
        <w:ind w:left="0" w:leftChars="0" w:firstLine="640" w:firstLineChars="200"/>
        <w:jc w:val="both"/>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bookmarkStart w:id="38" w:name="_Toc8376"/>
      <w:bookmarkStart w:id="39" w:name="_Toc9987"/>
      <w:r>
        <w:rPr>
          <w:rFonts w:hint="eastAsia" w:ascii="Times New Roman" w:hAnsi="Times New Roman" w:eastAsia="仿宋_GB2312" w:cs="Times New Roman"/>
          <w:color w:val="000000" w:themeColor="text1"/>
          <w:kern w:val="2"/>
          <w:sz w:val="32"/>
          <w:szCs w:val="32"/>
          <w:u w:val="none" w:color="auto"/>
          <w:lang w:val="en-US" w:eastAsia="zh-CN" w:bidi="ar-SA"/>
          <w14:textFill>
            <w14:solidFill>
              <w14:schemeClr w14:val="tx1"/>
            </w14:solidFill>
          </w14:textFill>
        </w:rPr>
        <w:t>事故发生后，现场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人员拨打</w:t>
      </w:r>
      <w:r>
        <w:rPr>
          <w:rFonts w:hint="eastAsia" w:ascii="宋体" w:hAnsi="宋体" w:eastAsia="宋体" w:cs="宋体"/>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急救电话。</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分许，</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急救中心到达现场，将李某贤送往武汉市普仁医院进行抢救。</w:t>
      </w:r>
      <w:r>
        <w:rPr>
          <w:rFonts w:hint="eastAsia" w:ascii="宋体" w:hAnsi="宋体" w:eastAsia="宋体" w:cs="宋体"/>
          <w:color w:val="000000" w:themeColor="text1"/>
          <w:kern w:val="2"/>
          <w:sz w:val="32"/>
          <w:szCs w:val="32"/>
          <w:u w:val="none" w:color="auto"/>
          <w:lang w:val="en-US" w:eastAsia="zh-CN" w:bidi="ar-SA"/>
          <w14:textFill>
            <w14:solidFill>
              <w14:schemeClr w14:val="tx1"/>
            </w14:solidFill>
          </w14:textFill>
        </w:rPr>
        <w:t>17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时29分，李某贤经抢救无效死亡。</w:t>
      </w:r>
      <w:bookmarkEnd w:id="38"/>
      <w:bookmarkEnd w:id="39"/>
    </w:p>
    <w:p w14:paraId="15DF6846">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40" w:name="_Toc1429"/>
      <w:r>
        <w:rPr>
          <w:rFonts w:hint="eastAsia" w:ascii="楷体_GB2312" w:hAnsi="楷体_GB2312" w:eastAsia="楷体_GB2312" w:cs="楷体_GB2312"/>
          <w:b/>
          <w:bCs/>
          <w:sz w:val="32"/>
          <w:szCs w:val="32"/>
          <w:lang w:val="en-US" w:eastAsia="zh-CN"/>
        </w:rPr>
        <w:t>（三）事故应急处置评估</w:t>
      </w:r>
      <w:bookmarkEnd w:id="40"/>
    </w:p>
    <w:p w14:paraId="38158C6C">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经事故调查组对事故应急处置复盘评估认为，事故发生后</w:t>
      </w:r>
      <w:r>
        <w:rPr>
          <w:rFonts w:hint="eastAsia" w:ascii="宋体" w:hAnsi="宋体" w:eastAsia="宋体" w:cs="宋体"/>
          <w:color w:val="000000" w:themeColor="text1"/>
          <w:sz w:val="32"/>
          <w:szCs w:val="32"/>
          <w:lang w:val="en-US" w:eastAsia="zh-CN"/>
          <w14:textFill>
            <w14:solidFill>
              <w14:schemeClr w14:val="tx1"/>
            </w14:solidFill>
          </w14:textFill>
        </w:rPr>
        <w:t>120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急救中心、区公安分局、区应急管理局、区资建局、冶金街道办事处等单位接报后，迅速组织人员赶赴现场处置，响应及时，分工明确，措施得当，处置稳妥，对相关信息报送及时准确，善后工作开展有序。</w:t>
      </w:r>
    </w:p>
    <w:p w14:paraId="0B7516E5">
      <w:pPr>
        <w:pStyle w:val="6"/>
        <w:keepNext w:val="0"/>
        <w:keepLines w:val="0"/>
        <w:pageBreakBefore w:val="0"/>
        <w:widowControl w:val="0"/>
        <w:kinsoku/>
        <w:wordWrap/>
        <w:overflowPunct/>
        <w:autoSpaceDE/>
        <w:autoSpaceDN/>
        <w:bidi w:val="0"/>
        <w:spacing w:line="560" w:lineRule="exact"/>
        <w:ind w:firstLine="640" w:firstLineChars="200"/>
        <w:jc w:val="both"/>
        <w:textAlignment w:val="auto"/>
        <w:outlineLvl w:val="0"/>
        <w:rPr>
          <w:rFonts w:hint="default" w:ascii="黑体" w:hAnsi="黑体" w:eastAsia="黑体" w:cs="黑体"/>
          <w:sz w:val="32"/>
          <w:szCs w:val="32"/>
          <w:lang w:val="en-US" w:eastAsia="zh-CN"/>
        </w:rPr>
      </w:pPr>
      <w:bookmarkStart w:id="41" w:name="_Toc20364"/>
      <w:r>
        <w:rPr>
          <w:rFonts w:hint="eastAsia" w:ascii="黑体" w:hAnsi="黑体" w:eastAsia="黑体" w:cs="黑体"/>
          <w:sz w:val="32"/>
          <w:szCs w:val="32"/>
          <w:lang w:val="en-US" w:eastAsia="zh-CN"/>
        </w:rPr>
        <w:t>三、事故原因分析</w:t>
      </w:r>
      <w:bookmarkEnd w:id="41"/>
    </w:p>
    <w:p w14:paraId="08FC5E80">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42" w:name="_Toc26191"/>
      <w:r>
        <w:rPr>
          <w:rFonts w:hint="eastAsia" w:ascii="楷体_GB2312" w:hAnsi="楷体_GB2312" w:eastAsia="楷体_GB2312" w:cs="楷体_GB2312"/>
          <w:b/>
          <w:bCs/>
          <w:sz w:val="32"/>
          <w:szCs w:val="32"/>
          <w:lang w:val="en-US" w:eastAsia="zh-CN"/>
        </w:rPr>
        <w:t>（一）直接原因分析</w:t>
      </w:r>
      <w:bookmarkEnd w:id="42"/>
    </w:p>
    <w:p w14:paraId="466DA559">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通过对事故现场进行勘察、对人员进行询问，认定事故的直接原因是：李某贤安全意识淡薄，在查看塔吊起重臂异响过程中违规解开安全绳翻越载重小车，从起重臂上摔落至地面致其受伤。</w:t>
      </w:r>
    </w:p>
    <w:p w14:paraId="10BAF991">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43" w:name="_Toc4865"/>
      <w:r>
        <w:rPr>
          <w:rFonts w:hint="eastAsia" w:ascii="楷体_GB2312" w:hAnsi="楷体_GB2312" w:eastAsia="楷体_GB2312" w:cs="楷体_GB2312"/>
          <w:b/>
          <w:bCs/>
          <w:sz w:val="32"/>
          <w:szCs w:val="32"/>
          <w:lang w:val="en-US" w:eastAsia="zh-CN"/>
        </w:rPr>
        <w:t>（二）间接原因分析</w:t>
      </w:r>
      <w:bookmarkEnd w:id="43"/>
    </w:p>
    <w:p w14:paraId="29EC1D25">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湖北裕恒公司风险防范化解机制不健全，未辨识防范塔吊拆除人员翻越载重小车存在的风险并采取管控措施；安全生产教育培训不到位，塔吊拆卸作业人员存在违规作业行为。</w:t>
      </w:r>
    </w:p>
    <w:p w14:paraId="6BB48541">
      <w:pPr>
        <w:pStyle w:val="6"/>
        <w:keepNext w:val="0"/>
        <w:keepLines w:val="0"/>
        <w:pageBreakBefore w:val="0"/>
        <w:widowControl w:val="0"/>
        <w:kinsoku/>
        <w:wordWrap/>
        <w:overflowPunct/>
        <w:autoSpaceDE/>
        <w:autoSpaceDN/>
        <w:bidi w:val="0"/>
        <w:spacing w:line="560" w:lineRule="exact"/>
        <w:ind w:firstLine="640" w:firstLineChars="200"/>
        <w:jc w:val="both"/>
        <w:textAlignment w:val="auto"/>
        <w:outlineLvl w:val="0"/>
        <w:rPr>
          <w:rFonts w:hint="eastAsia" w:ascii="黑体" w:hAnsi="黑体" w:eastAsia="黑体" w:cs="黑体"/>
          <w:sz w:val="32"/>
          <w:szCs w:val="32"/>
          <w:lang w:val="en-US" w:eastAsia="zh-CN"/>
        </w:rPr>
      </w:pPr>
      <w:bookmarkStart w:id="44" w:name="_Toc3370"/>
      <w:r>
        <w:rPr>
          <w:rFonts w:hint="eastAsia" w:ascii="黑体" w:hAnsi="黑体" w:eastAsia="黑体" w:cs="黑体"/>
          <w:sz w:val="32"/>
          <w:szCs w:val="32"/>
          <w:lang w:val="en-US" w:eastAsia="zh-CN"/>
        </w:rPr>
        <w:t>四、有关责任单位存在的问题</w:t>
      </w:r>
      <w:bookmarkEnd w:id="44"/>
    </w:p>
    <w:p w14:paraId="357FFAD0">
      <w:pPr>
        <w:keepNext w:val="0"/>
        <w:keepLines w:val="0"/>
        <w:pageBreakBefore w:val="0"/>
        <w:widowControl w:val="0"/>
        <w:kinsoku/>
        <w:wordWrap/>
        <w:overflowPunct/>
        <w:autoSpaceDE/>
        <w:autoSpaceDN/>
        <w:bidi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湖北裕恒公司。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风险防范化解机制不健全，未辨识防范塔吊拆除人员翻越载重小车存在的风险并采取管控措施</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0"/>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；安全生产教育培训不到位，塔吊拆卸作业人员存在违规作业行为</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1"/>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3899A4EB">
      <w:pPr>
        <w:keepNext w:val="0"/>
        <w:keepLines w:val="0"/>
        <w:pageBreakBefore w:val="0"/>
        <w:widowControl w:val="0"/>
        <w:kinsoku/>
        <w:wordWrap/>
        <w:overflowPunct/>
        <w:autoSpaceDE/>
        <w:autoSpaceDN/>
        <w:bidi w:val="0"/>
        <w:spacing w:line="560" w:lineRule="exact"/>
        <w:ind w:firstLine="640" w:firstLineChars="200"/>
        <w:jc w:val="both"/>
        <w:textAlignment w:val="auto"/>
        <w:outlineLvl w:val="0"/>
        <w:rPr>
          <w:rFonts w:hint="eastAsia" w:ascii="黑体" w:hAnsi="黑体" w:eastAsia="黑体" w:cs="黑体"/>
          <w:color w:val="000000" w:themeColor="text1"/>
          <w:sz w:val="32"/>
          <w:szCs w:val="32"/>
          <w:lang w:val="en-US" w:eastAsia="zh-CN"/>
          <w14:textFill>
            <w14:solidFill>
              <w14:schemeClr w14:val="tx1"/>
            </w14:solidFill>
          </w14:textFill>
        </w:rPr>
      </w:pPr>
      <w:bookmarkStart w:id="45" w:name="_Toc25698"/>
      <w:r>
        <w:rPr>
          <w:rFonts w:hint="eastAsia" w:ascii="黑体" w:hAnsi="黑体" w:eastAsia="黑体" w:cs="黑体"/>
          <w:color w:val="000000" w:themeColor="text1"/>
          <w:sz w:val="32"/>
          <w:szCs w:val="32"/>
          <w:lang w:val="en-US" w:eastAsia="zh-CN"/>
          <w14:textFill>
            <w14:solidFill>
              <w14:schemeClr w14:val="tx1"/>
            </w14:solidFill>
          </w14:textFill>
        </w:rPr>
        <w:t>五、对有关责任人员和责任单位的处理建议</w:t>
      </w:r>
      <w:bookmarkEnd w:id="45"/>
    </w:p>
    <w:p w14:paraId="55FFBF0E">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default" w:ascii="楷体_GB2312" w:hAnsi="楷体_GB2312" w:eastAsia="楷体_GB2312" w:cs="楷体_GB2312"/>
          <w:b/>
          <w:bCs/>
          <w:sz w:val="32"/>
          <w:szCs w:val="32"/>
          <w:lang w:val="en-US" w:eastAsia="zh-CN"/>
        </w:rPr>
      </w:pPr>
      <w:bookmarkStart w:id="46" w:name="_Toc31312"/>
      <w:r>
        <w:rPr>
          <w:rFonts w:hint="eastAsia" w:ascii="楷体_GB2312" w:hAnsi="楷体_GB2312" w:eastAsia="楷体_GB2312" w:cs="楷体_GB2312"/>
          <w:b/>
          <w:bCs/>
          <w:sz w:val="32"/>
          <w:szCs w:val="32"/>
          <w:lang w:val="en-US" w:eastAsia="zh-CN"/>
        </w:rPr>
        <w:t>（一）因在事故中死亡免予追究责任人员</w:t>
      </w:r>
      <w:bookmarkEnd w:id="46"/>
    </w:p>
    <w:p w14:paraId="31C3BB29">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李某贤安全意识淡薄，在查看塔吊起重臂异响过程中违规解开安全绳翻越载重小车，从起重臂上摔落至单元门门头墙上致其本人受伤身亡，对事故负有直接责任，因在事故中死亡，根据法律规定，免于追究责任。</w:t>
      </w:r>
    </w:p>
    <w:p w14:paraId="68508EE9">
      <w:pPr>
        <w:pStyle w:val="8"/>
        <w:keepNext w:val="0"/>
        <w:keepLines w:val="0"/>
        <w:pageBreakBefore w:val="0"/>
        <w:widowControl w:val="0"/>
        <w:kinsoku/>
        <w:wordWrap/>
        <w:overflowPunct/>
        <w:autoSpaceDE/>
        <w:autoSpaceDN/>
        <w:bidi w:val="0"/>
        <w:spacing w:line="560" w:lineRule="exact"/>
        <w:ind w:left="0" w:leftChars="0" w:firstLine="643" w:firstLineChars="200"/>
        <w:jc w:val="both"/>
        <w:textAlignment w:val="auto"/>
        <w:outlineLvl w:val="1"/>
        <w:rPr>
          <w:rFonts w:hint="eastAsia" w:ascii="楷体_GB2312" w:hAnsi="楷体_GB2312" w:eastAsia="楷体_GB2312" w:cs="楷体_GB2312"/>
          <w:b/>
          <w:bCs/>
          <w:sz w:val="32"/>
          <w:szCs w:val="32"/>
          <w:lang w:val="en-US" w:eastAsia="zh-CN"/>
        </w:rPr>
      </w:pPr>
      <w:bookmarkStart w:id="47" w:name="_Toc24502"/>
      <w:r>
        <w:rPr>
          <w:rFonts w:hint="eastAsia" w:ascii="楷体_GB2312" w:hAnsi="楷体_GB2312" w:eastAsia="楷体_GB2312" w:cs="楷体_GB2312"/>
          <w:b/>
          <w:bCs/>
          <w:sz w:val="32"/>
          <w:szCs w:val="32"/>
          <w:lang w:val="en-US" w:eastAsia="zh-CN"/>
        </w:rPr>
        <w:t>（二）对事故有关责任人员和责任单位的行政处罚建议</w:t>
      </w:r>
      <w:bookmarkEnd w:id="47"/>
    </w:p>
    <w:p w14:paraId="7F3CE01F">
      <w:pPr>
        <w:keepNext w:val="0"/>
        <w:keepLines w:val="0"/>
        <w:pageBreakBefore w:val="0"/>
        <w:widowControl w:val="0"/>
        <w:kinsoku/>
        <w:wordWrap/>
        <w:overflowPunct/>
        <w:autoSpaceDE/>
        <w:autoSpaceDN/>
        <w:bidi w:val="0"/>
        <w:spacing w:line="560" w:lineRule="exact"/>
        <w:ind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湖北裕恒公司。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风险防范化解机制不健全，未辨识防范塔吊拆除人员翻越载重小车存在的风险并采取管控措施；安全生产教育培训不到位，塔吊拆卸作业人员存在违规作业行为，</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对事故负有责任。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违反《安全生产法》第四条</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2"/>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和第二十八条第一款</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3"/>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规定，建议由应急管理部门依照有关法律法规给予行政处罚。</w:t>
      </w:r>
    </w:p>
    <w:p w14:paraId="5D5ED41E">
      <w:pPr>
        <w:keepNext w:val="0"/>
        <w:keepLines w:val="0"/>
        <w:pageBreakBefore w:val="0"/>
        <w:widowControl w:val="0"/>
        <w:kinsoku/>
        <w:wordWrap/>
        <w:overflowPunct/>
        <w:autoSpaceDE/>
        <w:autoSpaceDN/>
        <w:bidi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fldChar w:fldCharType="begin"/>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instrText xml:space="preserve"> HYPERLINK "https://www.tianyancha.com/human/2211866298-c1203586722" \t "https://www.tianyancha.com/company/_blank" </w:instrTex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fldChar w:fldCharType="separate"/>
      </w:r>
      <w:r>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t>邹</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某</w:t>
      </w:r>
      <w:r>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t>祥</w:t>
      </w:r>
      <w:r>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fldChar w:fldCharType="end"/>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t>湖北裕恒公司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主要负责人（法定代表人），未依法履行安全生产管理职责。违反《安全生产法》第二十</w:t>
      </w:r>
      <w:r>
        <w:rPr>
          <w:rFonts w:hint="eastAsia" w:ascii="仿宋_GB2312" w:hAnsi="仿宋" w:eastAsia="仿宋_GB2312" w:cs="楷体"/>
          <w:color w:val="auto"/>
          <w:sz w:val="32"/>
          <w:szCs w:val="32"/>
          <w:lang w:val="en-US" w:eastAsia="zh-CN"/>
        </w:rPr>
        <w:t>一条第一款第五项</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footnoteReference w:id="4"/>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规定</w:t>
      </w:r>
      <w:r>
        <w:rPr>
          <w:rFonts w:hint="eastAsia" w:ascii="仿宋" w:hAnsi="仿宋" w:eastAsia="仿宋" w:cs="仿宋"/>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建议由应急管理部门依照有关法律法规给予行政处罚。</w:t>
      </w:r>
    </w:p>
    <w:p w14:paraId="54723E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_GB2312" w:hAnsi="仿宋_GB2312" w:eastAsia="仿宋_GB2312" w:cs="仿宋_GB2312"/>
          <w:color w:val="000000" w:themeColor="text1"/>
          <w:kern w:val="2"/>
          <w:sz w:val="32"/>
          <w:szCs w:val="32"/>
          <w:u w:val="none" w:color="auto"/>
          <w:lang w:val="en-US" w:eastAsia="zh-CN" w:bidi="ar-SA"/>
          <w14:textFill>
            <w14:solidFill>
              <w14:schemeClr w14:val="tx1"/>
            </w14:solidFill>
          </w14:textFill>
        </w:rPr>
      </w:pPr>
      <w:bookmarkStart w:id="48" w:name="_Toc3111"/>
      <w:r>
        <w:rPr>
          <w:rFonts w:hint="eastAsia" w:ascii="黑体" w:hAnsi="黑体" w:eastAsia="黑体" w:cs="黑体"/>
          <w:color w:val="000000" w:themeColor="text1"/>
          <w:sz w:val="32"/>
          <w:szCs w:val="32"/>
          <w:lang w:val="en-US" w:eastAsia="zh-CN"/>
          <w14:textFill>
            <w14:solidFill>
              <w14:schemeClr w14:val="tx1"/>
            </w14:solidFill>
          </w14:textFill>
        </w:rPr>
        <w:t>六、事故主要教训</w:t>
      </w:r>
      <w:bookmarkEnd w:id="48"/>
    </w:p>
    <w:p w14:paraId="62DC5661">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本起事故的发生暴露出部分生产经营单位安全生产主体责任落实不到位，安全生产教育不到位；从业人员安全意识淡薄，违章作业行为依然存在。</w:t>
      </w:r>
    </w:p>
    <w:p w14:paraId="10B6AF7A">
      <w:pPr>
        <w:keepNext w:val="0"/>
        <w:keepLines w:val="0"/>
        <w:pageBreakBefore w:val="0"/>
        <w:widowControl w:val="0"/>
        <w:kinsoku/>
        <w:wordWrap/>
        <w:overflowPunct/>
        <w:autoSpaceDE/>
        <w:autoSpaceDN/>
        <w:bidi w:val="0"/>
        <w:spacing w:line="560" w:lineRule="exact"/>
        <w:ind w:firstLine="640" w:firstLineChars="200"/>
        <w:jc w:val="both"/>
        <w:textAlignment w:val="auto"/>
        <w:outlineLvl w:val="0"/>
        <w:rPr>
          <w:rFonts w:hint="eastAsia" w:ascii="黑体" w:hAnsi="黑体" w:eastAsia="黑体" w:cs="黑体"/>
          <w:color w:val="000000" w:themeColor="text1"/>
          <w:sz w:val="32"/>
          <w:szCs w:val="32"/>
          <w:lang w:val="en-US" w:eastAsia="zh-CN"/>
          <w14:textFill>
            <w14:solidFill>
              <w14:schemeClr w14:val="tx1"/>
            </w14:solidFill>
          </w14:textFill>
        </w:rPr>
      </w:pPr>
      <w:bookmarkStart w:id="49" w:name="_Toc14937"/>
      <w:r>
        <w:rPr>
          <w:rFonts w:hint="eastAsia" w:ascii="黑体" w:hAnsi="黑体" w:eastAsia="黑体" w:cs="黑体"/>
          <w:color w:val="000000" w:themeColor="text1"/>
          <w:sz w:val="32"/>
          <w:szCs w:val="32"/>
          <w:lang w:val="en-US" w:eastAsia="zh-CN"/>
          <w14:textFill>
            <w14:solidFill>
              <w14:schemeClr w14:val="tx1"/>
            </w14:solidFill>
          </w14:textFill>
        </w:rPr>
        <w:t>七、事故整改和防范措施</w:t>
      </w:r>
      <w:bookmarkEnd w:id="49"/>
    </w:p>
    <w:p w14:paraId="6086554E">
      <w:pPr>
        <w:keepNext w:val="0"/>
        <w:keepLines w:val="0"/>
        <w:pageBreakBefore w:val="0"/>
        <w:widowControl w:val="0"/>
        <w:kinsoku/>
        <w:wordWrap/>
        <w:overflowPunct/>
        <w:autoSpaceDE/>
        <w:autoSpaceDN/>
        <w:bidi w:val="0"/>
        <w:spacing w:line="560" w:lineRule="exact"/>
        <w:ind w:firstLine="640" w:firstLineChars="200"/>
        <w:jc w:val="both"/>
        <w:textAlignment w:val="auto"/>
        <w:rPr>
          <w:rFonts w:ascii="微软雅黑" w:hAnsi="微软雅黑" w:eastAsia="微软雅黑" w:cs="微软雅黑"/>
          <w:i w:val="0"/>
          <w:iCs w:val="0"/>
          <w:caps w:val="0"/>
          <w:color w:val="333333"/>
          <w:spacing w:val="0"/>
          <w:sz w:val="24"/>
          <w:szCs w:val="24"/>
          <w:shd w:val="clear" w:fill="FFFFFF"/>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湖北裕恒公司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深刻汲取本次事故教训，认真分析事故原因，健全安全风险防范化解机制，全面辨识管控各类风险，同时要强化工人安全管理交底和上岗前安全培训工作，严格落实安全生产操作规程和各项安全防护措施，确保安全施工。</w:t>
      </w:r>
    </w:p>
    <w:p w14:paraId="4EBBB2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青山城建公司、一冶集团公司和南方咨询公司</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要深刻汲取教训，举一反三，进一步强化对所发包、分包和监理项目安全管理措施，深入治理安全隐患问题，及时提醒制止违法违规违章作业行为，确保生产安全有序。</w:t>
      </w:r>
    </w:p>
    <w:p w14:paraId="18C4D993">
      <w:pPr>
        <w:keepNext w:val="0"/>
        <w:keepLines w:val="0"/>
        <w:pageBreakBefore w:val="0"/>
        <w:widowControl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区资建局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要深刻汲取事故教训，深入剖析事故原因，以案为鉴，加大对建设项目施工作业的安全检查监管力度和深度，督促企业严格落实安全生产主体责任，坚决防范安全事故发生。</w:t>
      </w:r>
    </w:p>
    <w:p w14:paraId="73B681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冶金街道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要深刻汲取事故教训，配合行业监管部门，加大对本辖区建设项目日常巡查和检查，及时上报违法违规违章作业行为。</w:t>
      </w:r>
    </w:p>
    <w:p w14:paraId="22986789">
      <w:pPr>
        <w:pStyle w:val="14"/>
        <w:keepNext w:val="0"/>
        <w:keepLines w:val="0"/>
        <w:pageBreakBefore w:val="0"/>
        <w:widowControl w:val="0"/>
        <w:kinsoku/>
        <w:wordWrap/>
        <w:overflowPunct/>
        <w:autoSpaceDE/>
        <w:autoSpaceDN/>
        <w:bidi w:val="0"/>
        <w:spacing w:line="560" w:lineRule="exact"/>
        <w:ind w:left="0" w:leftChars="0" w:firstLine="640" w:firstLineChars="200"/>
        <w:jc w:val="lef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bookmarkStart w:id="50" w:name="_GoBack"/>
      <w:bookmarkEnd w:id="50"/>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本页无正文）</w:t>
      </w:r>
    </w:p>
    <w:p w14:paraId="41A5A2F4">
      <w:pPr>
        <w:pStyle w:val="14"/>
        <w:keepNext w:val="0"/>
        <w:keepLines w:val="0"/>
        <w:pageBreakBefore w:val="0"/>
        <w:widowControl w:val="0"/>
        <w:kinsoku/>
        <w:wordWrap/>
        <w:overflowPunct/>
        <w:autoSpaceDE/>
        <w:autoSpaceDN/>
        <w:bidi w:val="0"/>
        <w:spacing w:line="560" w:lineRule="exact"/>
        <w:jc w:val="righ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2226A1B8">
      <w:pPr>
        <w:pStyle w:val="14"/>
        <w:keepNext w:val="0"/>
        <w:keepLines w:val="0"/>
        <w:pageBreakBefore w:val="0"/>
        <w:widowControl w:val="0"/>
        <w:kinsoku/>
        <w:wordWrap/>
        <w:overflowPunct/>
        <w:autoSpaceDE/>
        <w:autoSpaceDN/>
        <w:bidi w:val="0"/>
        <w:spacing w:line="560" w:lineRule="exact"/>
        <w:jc w:val="righ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52444B4D">
      <w:pPr>
        <w:pStyle w:val="14"/>
        <w:keepNext w:val="0"/>
        <w:keepLines w:val="0"/>
        <w:pageBreakBefore w:val="0"/>
        <w:widowControl w:val="0"/>
        <w:kinsoku/>
        <w:wordWrap/>
        <w:overflowPunct/>
        <w:autoSpaceDE/>
        <w:autoSpaceDN/>
        <w:bidi w:val="0"/>
        <w:spacing w:line="560" w:lineRule="exact"/>
        <w:jc w:val="right"/>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青山区“</w:t>
      </w:r>
      <w:r>
        <w:rPr>
          <w:rFonts w:hint="eastAsia" w:eastAsia="宋体" w:cs="宋体"/>
          <w:b w:val="0"/>
          <w:bCs w:val="0"/>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eastAsia="宋体" w:cs="宋体"/>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”一般高处坠落安全事故调查组</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 </w:t>
      </w:r>
    </w:p>
    <w:p w14:paraId="3D49DA7C">
      <w:pPr>
        <w:pStyle w:val="14"/>
        <w:keepNext w:val="0"/>
        <w:keepLines w:val="0"/>
        <w:pageBreakBefore w:val="0"/>
        <w:widowControl w:val="0"/>
        <w:kinsoku/>
        <w:wordWrap w:val="0"/>
        <w:overflowPunct/>
        <w:autoSpaceDE/>
        <w:autoSpaceDN/>
        <w:bidi w:val="0"/>
        <w:spacing w:line="560" w:lineRule="exact"/>
        <w:jc w:val="right"/>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              </w:t>
      </w:r>
      <w:r>
        <w:rPr>
          <w:rFonts w:hint="eastAsia" w:eastAsia="宋体" w:cs="宋体"/>
          <w:b w:val="0"/>
          <w:bCs w:val="0"/>
          <w:color w:val="000000" w:themeColor="text1"/>
          <w:sz w:val="32"/>
          <w:szCs w:val="32"/>
          <w:lang w:val="en-US" w:eastAsia="zh-CN"/>
          <w14:textFill>
            <w14:solidFill>
              <w14:schemeClr w14:val="tx1"/>
            </w14:solidFill>
          </w14:textFill>
        </w:rPr>
        <w:t xml:space="preserve">  2025</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年</w:t>
      </w:r>
      <w:r>
        <w:rPr>
          <w:rFonts w:hint="eastAsia" w:eastAsia="宋体" w:cs="宋体"/>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月</w:t>
      </w:r>
      <w:r>
        <w:rPr>
          <w:rFonts w:hint="eastAsia" w:eastAsia="宋体" w:cs="宋体"/>
          <w:b w:val="0"/>
          <w:bCs w:val="0"/>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日          </w:t>
      </w:r>
    </w:p>
    <w:sectPr>
      <w:footerReference r:id="rId5" w:type="default"/>
      <w:pgSz w:w="11906" w:h="16838"/>
      <w:pgMar w:top="2098" w:right="130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0655">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EFC70">
                          <w:pPr>
                            <w:pStyle w:val="4"/>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DEFC70">
                    <w:pPr>
                      <w:pStyle w:val="4"/>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A2F32">
                          <w:pPr>
                            <w:pStyle w:val="4"/>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57A2F32">
                    <w:pPr>
                      <w:pStyle w:val="4"/>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44804">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044804">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49329">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DBA66">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3BDBA66">
                    <w:pPr>
                      <w:pStyle w:val="4"/>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BFAF6">
                          <w:pPr>
                            <w:pStyle w:val="4"/>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CBFAF6">
                    <w:pPr>
                      <w:pStyle w:val="4"/>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078EA">
                          <w:pPr>
                            <w:pStyle w:val="4"/>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EA078EA">
                    <w:pPr>
                      <w:pStyle w:val="4"/>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C4AA7">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5C4AA7">
                    <w:pPr>
                      <w:pStyle w:val="4"/>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294CC943">
      <w:pPr>
        <w:pStyle w:val="7"/>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w:t>
      </w:r>
      <w:r>
        <w:rPr>
          <w:rFonts w:hint="default" w:ascii="宋体" w:hAnsi="宋体" w:eastAsia="宋体" w:cs="宋体"/>
          <w:i w:val="0"/>
          <w:iCs w:val="0"/>
          <w:caps w:val="0"/>
          <w:color w:val="333333"/>
          <w:spacing w:val="0"/>
          <w:sz w:val="18"/>
          <w:szCs w:val="18"/>
          <w:shd w:val="clear" w:fill="FFFFFF"/>
          <w:lang w:val="en-US" w:eastAsia="zh-CN"/>
        </w:rPr>
        <w:t>四条</w:t>
      </w:r>
      <w:r>
        <w:rPr>
          <w:rFonts w:hint="eastAsia" w:ascii="宋体" w:hAnsi="宋体" w:eastAsia="宋体" w:cs="宋体"/>
          <w:i w:val="0"/>
          <w:iCs w:val="0"/>
          <w:caps w:val="0"/>
          <w:color w:val="333333"/>
          <w:spacing w:val="0"/>
          <w:sz w:val="18"/>
          <w:szCs w:val="18"/>
          <w:shd w:val="clear" w:fill="FFFFFF"/>
          <w:lang w:val="en-US" w:eastAsia="zh-CN"/>
        </w:rPr>
        <w:t>：生产经营单位必须遵守本法和其他有关安全生产的法律、</w:t>
      </w:r>
      <w:r>
        <w:rPr>
          <w:rFonts w:hint="default" w:ascii="宋体" w:hAnsi="宋体" w:eastAsia="宋体" w:cs="宋体"/>
          <w:i w:val="0"/>
          <w:iCs w:val="0"/>
          <w:caps w:val="0"/>
          <w:color w:val="333333"/>
          <w:spacing w:val="0"/>
          <w:sz w:val="18"/>
          <w:szCs w:val="18"/>
          <w:shd w:val="clear" w:fill="FFFFFF"/>
          <w:lang w:val="en-US" w:eastAsia="zh-CN"/>
        </w:rPr>
        <w:t>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r>
        <w:rPr>
          <w:rFonts w:hint="eastAsia" w:ascii="宋体" w:hAnsi="宋体" w:eastAsia="宋体" w:cs="宋体"/>
          <w:i w:val="0"/>
          <w:iCs w:val="0"/>
          <w:caps w:val="0"/>
          <w:color w:val="333333"/>
          <w:spacing w:val="0"/>
          <w:sz w:val="18"/>
          <w:szCs w:val="18"/>
          <w:shd w:val="clear" w:fill="FFFFFF"/>
          <w:lang w:val="en-US" w:eastAsia="zh-CN"/>
        </w:rPr>
        <w:t>。 </w:t>
      </w:r>
    </w:p>
  </w:footnote>
  <w:footnote w:id="1">
    <w:p w14:paraId="00A2AD19">
      <w:pPr>
        <w:pStyle w:val="7"/>
        <w:snapToGrid w:val="0"/>
        <w:rPr>
          <w:rFonts w:hint="eastAsia" w:ascii="宋体" w:hAnsi="宋体" w:eastAsia="宋体" w:cs="宋体"/>
          <w:sz w:val="18"/>
          <w:szCs w:val="18"/>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《中华人民共和国安全生产法》第二十八条第一款：生产经营单位应当对从业人员进行安全生产教育和培训，保证从业人员具备必要的安全生产知识，熟悉有关的安全生产规章制度和安全操作规程， 掌握本岗位的安全操作技能，了解事故应急处理措施，知悉自身在安全生产方面的权利和义务。……。 </w:t>
      </w:r>
    </w:p>
  </w:footnote>
  <w:footnote w:id="2">
    <w:p w14:paraId="673EF7F6">
      <w:pPr>
        <w:pStyle w:val="7"/>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w:t>
      </w:r>
      <w:r>
        <w:rPr>
          <w:rFonts w:hint="default" w:ascii="宋体" w:hAnsi="宋体" w:eastAsia="宋体" w:cs="宋体"/>
          <w:i w:val="0"/>
          <w:iCs w:val="0"/>
          <w:caps w:val="0"/>
          <w:color w:val="333333"/>
          <w:spacing w:val="0"/>
          <w:sz w:val="18"/>
          <w:szCs w:val="18"/>
          <w:shd w:val="clear" w:fill="FFFFFF"/>
          <w:lang w:val="en-US" w:eastAsia="zh-CN"/>
        </w:rPr>
        <w:t>四条</w:t>
      </w:r>
      <w:r>
        <w:rPr>
          <w:rFonts w:hint="eastAsia" w:ascii="宋体" w:hAnsi="宋体" w:eastAsia="宋体" w:cs="宋体"/>
          <w:i w:val="0"/>
          <w:iCs w:val="0"/>
          <w:caps w:val="0"/>
          <w:color w:val="333333"/>
          <w:spacing w:val="0"/>
          <w:sz w:val="18"/>
          <w:szCs w:val="18"/>
          <w:shd w:val="clear" w:fill="FFFFFF"/>
          <w:lang w:val="en-US" w:eastAsia="zh-CN"/>
        </w:rPr>
        <w:t>：生产经营单位必须遵守本法和其他有关安全生产的法律、</w:t>
      </w:r>
      <w:r>
        <w:rPr>
          <w:rFonts w:hint="default" w:ascii="宋体" w:hAnsi="宋体" w:eastAsia="宋体" w:cs="宋体"/>
          <w:i w:val="0"/>
          <w:iCs w:val="0"/>
          <w:caps w:val="0"/>
          <w:color w:val="333333"/>
          <w:spacing w:val="0"/>
          <w:sz w:val="18"/>
          <w:szCs w:val="18"/>
          <w:shd w:val="clear" w:fill="FFFFFF"/>
          <w:lang w:val="en-US" w:eastAsia="zh-CN"/>
        </w:rPr>
        <w:t>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r>
        <w:rPr>
          <w:rFonts w:hint="eastAsia" w:ascii="宋体" w:hAnsi="宋体" w:eastAsia="宋体" w:cs="宋体"/>
          <w:i w:val="0"/>
          <w:iCs w:val="0"/>
          <w:caps w:val="0"/>
          <w:color w:val="333333"/>
          <w:spacing w:val="0"/>
          <w:sz w:val="18"/>
          <w:szCs w:val="18"/>
          <w:shd w:val="clear" w:fill="FFFFFF"/>
          <w:lang w:val="en-US" w:eastAsia="zh-CN"/>
        </w:rPr>
        <w:t>。 </w:t>
      </w:r>
    </w:p>
  </w:footnote>
  <w:footnote w:id="3">
    <w:p w14:paraId="2A2C6472">
      <w:pPr>
        <w:pStyle w:val="7"/>
        <w:snapToGrid w:val="0"/>
        <w:rPr>
          <w:rFonts w:hint="eastAsia" w:ascii="宋体" w:hAnsi="宋体" w:eastAsia="宋体" w:cs="宋体"/>
          <w:sz w:val="18"/>
          <w:szCs w:val="18"/>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《中华人民共和国安全生产法》第二十八条第一款：生产经营单位应当对从业人员进行安全生产教育和培训，保证从业人员具备必要的安全生产知识，熟悉有关的安全生产规章制度和安全操作规程， 掌握本岗位的安全操作技能，了解事故应急处理措施，知悉自身在安全生产方面的权利和义务。……。 </w:t>
      </w:r>
    </w:p>
  </w:footnote>
  <w:footnote w:id="4">
    <w:p w14:paraId="7AB2AB9B">
      <w:pPr>
        <w:pStyle w:val="7"/>
        <w:snapToGrid w:val="0"/>
        <w:rPr>
          <w:rFonts w:hint="eastAsia" w:ascii="宋体" w:hAnsi="宋体" w:eastAsia="宋体" w:cs="宋体"/>
          <w:i w:val="0"/>
          <w:iCs w:val="0"/>
          <w:caps w:val="0"/>
          <w:color w:val="333333"/>
          <w:spacing w:val="0"/>
          <w:sz w:val="18"/>
          <w:szCs w:val="18"/>
          <w:shd w:val="clear" w:fill="FFFFFF"/>
          <w:lang w:val="en-US" w:eastAsia="zh-CN"/>
        </w:rPr>
      </w:pPr>
      <w:r>
        <w:rPr>
          <w:rFonts w:hint="eastAsia" w:ascii="宋体" w:hAnsi="宋体" w:eastAsia="宋体" w:cs="宋体"/>
          <w:i w:val="0"/>
          <w:iCs w:val="0"/>
          <w:caps w:val="0"/>
          <w:color w:val="333333"/>
          <w:spacing w:val="0"/>
          <w:sz w:val="18"/>
          <w:szCs w:val="18"/>
          <w:shd w:val="clear" w:fill="FFFFFF"/>
          <w:lang w:val="en-US" w:eastAsia="zh-CN"/>
        </w:rPr>
        <w:t>[</w:t>
      </w:r>
      <w:r>
        <w:rPr>
          <w:rFonts w:hint="eastAsia" w:ascii="宋体" w:hAnsi="宋体" w:eastAsia="宋体" w:cs="宋体"/>
          <w:i w:val="0"/>
          <w:iCs w:val="0"/>
          <w:caps w:val="0"/>
          <w:color w:val="333333"/>
          <w:spacing w:val="0"/>
          <w:sz w:val="18"/>
          <w:szCs w:val="18"/>
          <w:shd w:val="clear" w:fill="FFFFFF"/>
          <w:lang w:val="en-US" w:eastAsia="zh-CN"/>
        </w:rPr>
        <w:footnoteRef/>
      </w:r>
      <w:r>
        <w:rPr>
          <w:rFonts w:hint="eastAsia" w:ascii="宋体" w:hAnsi="宋体" w:eastAsia="宋体" w:cs="宋体"/>
          <w:i w:val="0"/>
          <w:iCs w:val="0"/>
          <w:caps w:val="0"/>
          <w:color w:val="333333"/>
          <w:spacing w:val="0"/>
          <w:sz w:val="18"/>
          <w:szCs w:val="18"/>
          <w:shd w:val="clear" w:fill="FFFFFF"/>
          <w:lang w:val="en-US" w:eastAsia="zh-CN"/>
        </w:rPr>
        <w:t>] 《中华人民共和国安全生产法》第二十一条第一款第五项：</w:t>
      </w:r>
      <w:r>
        <w:rPr>
          <w:rFonts w:hint="eastAsia" w:ascii="宋体" w:hAnsi="宋体" w:eastAsia="宋体" w:cs="宋体"/>
          <w:i w:val="0"/>
          <w:iCs w:val="0"/>
          <w:caps w:val="0"/>
          <w:color w:val="333333"/>
          <w:spacing w:val="0"/>
          <w:sz w:val="18"/>
          <w:szCs w:val="18"/>
          <w:shd w:val="clear" w:fill="FFFFFF"/>
        </w:rPr>
        <w:t>生产经营单位的主要负责人对本单位安全生产工作负有下列职责：（</w:t>
      </w:r>
      <w:r>
        <w:rPr>
          <w:rFonts w:hint="default" w:ascii="宋体" w:hAnsi="宋体" w:eastAsia="宋体" w:cs="宋体"/>
          <w:i w:val="0"/>
          <w:iCs w:val="0"/>
          <w:caps w:val="0"/>
          <w:color w:val="333333"/>
          <w:spacing w:val="0"/>
          <w:sz w:val="18"/>
          <w:szCs w:val="18"/>
          <w:shd w:val="clear" w:fill="FFFFFF"/>
        </w:rPr>
        <w:t>五）组织建立并落实安全风险分级管控和隐患排查治理双重预防工作机制，督促、检查本单位的安全生产工作，及时消除生产安全事故隐患</w:t>
      </w:r>
      <w:r>
        <w:rPr>
          <w:rFonts w:hint="default" w:ascii="宋体" w:hAnsi="宋体" w:eastAsia="宋体" w:cs="宋体"/>
          <w:i w:val="0"/>
          <w:iCs w:val="0"/>
          <w:caps w:val="0"/>
          <w:color w:val="333333"/>
          <w:spacing w:val="0"/>
          <w:sz w:val="18"/>
          <w:szCs w:val="18"/>
          <w:shd w:val="clear" w:fill="FFFFFF"/>
          <w:lang w:val="en-US"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MzEyMTdiNjdjYjIyYTY2ODA4NWVjNmJjNTVhMzkifQ=="/>
  </w:docVars>
  <w:rsids>
    <w:rsidRoot w:val="51194DA5"/>
    <w:rsid w:val="04EB0562"/>
    <w:rsid w:val="11442786"/>
    <w:rsid w:val="12366BD3"/>
    <w:rsid w:val="12442092"/>
    <w:rsid w:val="133F72AB"/>
    <w:rsid w:val="1511631C"/>
    <w:rsid w:val="151D59A3"/>
    <w:rsid w:val="167707FD"/>
    <w:rsid w:val="199B6790"/>
    <w:rsid w:val="1F257E47"/>
    <w:rsid w:val="236879F7"/>
    <w:rsid w:val="29C54C03"/>
    <w:rsid w:val="2AB509BD"/>
    <w:rsid w:val="2B416982"/>
    <w:rsid w:val="2EA53E15"/>
    <w:rsid w:val="3337030F"/>
    <w:rsid w:val="3A5F6AFE"/>
    <w:rsid w:val="407A0866"/>
    <w:rsid w:val="42320F10"/>
    <w:rsid w:val="46E60C47"/>
    <w:rsid w:val="51194DA5"/>
    <w:rsid w:val="56E057AE"/>
    <w:rsid w:val="593F3B16"/>
    <w:rsid w:val="6CA86ED0"/>
    <w:rsid w:val="6EAD1BA4"/>
    <w:rsid w:val="6EC20254"/>
    <w:rsid w:val="738A7F30"/>
    <w:rsid w:val="761A356D"/>
    <w:rsid w:val="782F143B"/>
    <w:rsid w:val="7CC3693C"/>
    <w:rsid w:val="7E42647E"/>
    <w:rsid w:val="7F3D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仿宋"/>
      <w:sz w:val="32"/>
    </w:rPr>
  </w:style>
  <w:style w:type="paragraph" w:styleId="3">
    <w:name w:val="Body Text Indent"/>
    <w:basedOn w:val="1"/>
    <w:next w:val="2"/>
    <w:qFormat/>
    <w:uiPriority w:val="0"/>
    <w:pPr>
      <w:ind w:firstLine="622"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footnote text"/>
    <w:basedOn w:val="1"/>
    <w:qFormat/>
    <w:uiPriority w:val="0"/>
    <w:pPr>
      <w:snapToGrid w:val="0"/>
      <w:jc w:val="left"/>
    </w:pPr>
    <w:rPr>
      <w:sz w:val="18"/>
    </w:rPr>
  </w:style>
  <w:style w:type="paragraph" w:styleId="8">
    <w:name w:val="toc 2"/>
    <w:basedOn w:val="1"/>
    <w:next w:val="1"/>
    <w:qFormat/>
    <w:uiPriority w:val="0"/>
    <w:pPr>
      <w:ind w:left="420" w:leftChars="200"/>
    </w:pPr>
  </w:style>
  <w:style w:type="paragraph" w:styleId="9">
    <w:name w:val="Body Text First Indent 2"/>
    <w:basedOn w:val="3"/>
    <w:next w:val="1"/>
    <w:qFormat/>
    <w:uiPriority w:val="0"/>
    <w:pPr>
      <w:ind w:firstLine="420"/>
    </w:pPr>
  </w:style>
  <w:style w:type="character" w:styleId="12">
    <w:name w:val="Hyperlink"/>
    <w:basedOn w:val="11"/>
    <w:qFormat/>
    <w:uiPriority w:val="0"/>
    <w:rPr>
      <w:color w:val="0000FF"/>
      <w:u w:val="single"/>
    </w:rPr>
  </w:style>
  <w:style w:type="character" w:styleId="13">
    <w:name w:val="footnote reference"/>
    <w:basedOn w:val="11"/>
    <w:qFormat/>
    <w:uiPriority w:val="0"/>
    <w:rPr>
      <w:vertAlign w:val="superscript"/>
    </w:rPr>
  </w:style>
  <w:style w:type="paragraph" w:customStyle="1" w:styleId="14">
    <w:name w:val="li_正文"/>
    <w:basedOn w:val="1"/>
    <w:autoRedefine/>
    <w:qFormat/>
    <w:uiPriority w:val="0"/>
    <w:pPr>
      <w:widowControl w:val="0"/>
      <w:topLinePunct/>
      <w:adjustRightInd w:val="0"/>
      <w:snapToGrid w:val="0"/>
      <w:spacing w:line="360" w:lineRule="auto"/>
      <w:ind w:firstLine="700" w:firstLineChars="250"/>
      <w:textAlignment w:val="auto"/>
    </w:pPr>
    <w:rPr>
      <w:rFonts w:ascii="宋体" w:hAnsi="宋体"/>
      <w:sz w:val="28"/>
      <w:szCs w:val="28"/>
      <w:u w:val="none" w:color="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2827</Words>
  <Characters>3118</Characters>
  <Lines>0</Lines>
  <Paragraphs>0</Paragraphs>
  <TotalTime>0</TotalTime>
  <ScaleCrop>false</ScaleCrop>
  <LinksUpToDate>false</LinksUpToDate>
  <CharactersWithSpaces>3191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2024-06-27T06:58:00Z</dcterms:created>
  <dc:creator>Asnlssu</dc:creator>
  <cp:lastModifiedBy>Administrator</cp:lastModifiedBy>
  <cp:lastPrinted>2025-01-22T03:03:43Z</cp:lastPrinted>
  <dcterms:modified xsi:type="dcterms:W3CDTF">2025-01-22T03:04:20Z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9A8F37BCFFB94EBFB29F671E30315CB0_13</vt:lpwstr>
  </property>
  <property fmtid="{D5CDD505-2E9C-101B-9397-08002B2CF9AE}" pid="4" name="KSOTemplateDocerSaveRecord">
    <vt:lpwstr>eyJoZGlkIjoiZDYzOTYzZjczNGZmNGI3MzhlNGQzMDkxYzE4YzYxOGEifQ==</vt:lpwstr>
  </property>
</Properties>
</file>