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8"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区</w:t>
      </w:r>
      <w:r>
        <w:rPr>
          <w:rFonts w:hint="eastAsia" w:asciiTheme="majorEastAsia" w:hAnsiTheme="majorEastAsia" w:eastAsiaTheme="majorEastAsia" w:cstheme="majorEastAsia"/>
          <w:b/>
          <w:bCs/>
          <w:sz w:val="44"/>
          <w:szCs w:val="44"/>
        </w:rPr>
        <w:t>应急管理局202</w:t>
      </w:r>
      <w:r>
        <w:rPr>
          <w:rFonts w:hint="eastAsia" w:asciiTheme="majorEastAsia" w:hAnsiTheme="majorEastAsia" w:eastAsiaTheme="majorEastAsia" w:cstheme="majorEastAsia"/>
          <w:b/>
          <w:bCs/>
          <w:sz w:val="44"/>
          <w:szCs w:val="44"/>
          <w:lang w:val="en-US" w:eastAsia="zh-CN"/>
        </w:rPr>
        <w:t>5</w:t>
      </w:r>
      <w:r>
        <w:rPr>
          <w:rFonts w:hint="eastAsia" w:asciiTheme="majorEastAsia" w:hAnsiTheme="majorEastAsia" w:eastAsiaTheme="majorEastAsia" w:cstheme="majorEastAsia"/>
          <w:b/>
          <w:bCs/>
          <w:sz w:val="44"/>
          <w:szCs w:val="44"/>
        </w:rPr>
        <w:t>年度安全生产</w:t>
      </w:r>
    </w:p>
    <w:p>
      <w:pPr>
        <w:keepNext w:val="0"/>
        <w:keepLines w:val="0"/>
        <w:pageBreakBefore w:val="0"/>
        <w:widowControl w:val="0"/>
        <w:kinsoku/>
        <w:wordWrap/>
        <w:overflowPunct/>
        <w:topLinePunct w:val="0"/>
        <w:autoSpaceDE/>
        <w:autoSpaceDN/>
        <w:bidi w:val="0"/>
        <w:adjustRightInd/>
        <w:snapToGrid/>
        <w:spacing w:line="568"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监督检查计划</w:t>
      </w:r>
    </w:p>
    <w:p>
      <w:pPr>
        <w:pStyle w:val="3"/>
        <w:keepNext w:val="0"/>
        <w:keepLines w:val="0"/>
        <w:pageBreakBefore w:val="0"/>
        <w:widowControl w:val="0"/>
        <w:kinsoku/>
        <w:wordWrap/>
        <w:overflowPunct/>
        <w:topLinePunct w:val="0"/>
        <w:autoSpaceDE/>
        <w:autoSpaceDN/>
        <w:bidi w:val="0"/>
        <w:snapToGrid/>
        <w:spacing w:after="0" w:line="568" w:lineRule="exact"/>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为规范安全生产行政执法行为，切实提高安全生产执法效能，促进企业落实安全生产主体责任，防范事故发生，依据《安全生产年度监督检查计划编制办法》（安监总政法〔2017〕150号）和有关法律法规规定，结合我区安全生产工作实际，制定2025年度安全生产监督检查计划。</w:t>
      </w:r>
    </w:p>
    <w:p>
      <w:pPr>
        <w:keepNext w:val="0"/>
        <w:keepLines w:val="0"/>
        <w:pageBreakBefore w:val="0"/>
        <w:widowControl w:val="0"/>
        <w:kinsoku/>
        <w:wordWrap/>
        <w:overflowPunct/>
        <w:topLinePunct w:val="0"/>
        <w:autoSpaceDE/>
        <w:autoSpaceDN/>
        <w:bidi w:val="0"/>
        <w:adjustRightInd w:val="0"/>
        <w:snapToGrid/>
        <w:spacing w:line="568" w:lineRule="exact"/>
        <w:ind w:left="0" w:leftChars="0" w:firstLine="640" w:firstLineChars="200"/>
        <w:contextualSpacing/>
        <w:textAlignment w:val="auto"/>
        <w:rPr>
          <w:rFonts w:hint="default" w:ascii="Times New Roman" w:hAnsi="Times New Roman" w:eastAsia="黑体" w:cs="Times New Roman"/>
          <w:b w:val="0"/>
          <w:bCs/>
          <w:color w:val="auto"/>
          <w:sz w:val="32"/>
          <w:szCs w:val="32"/>
          <w:highlight w:val="none"/>
          <w:lang w:eastAsia="zh-CN"/>
        </w:rPr>
      </w:pPr>
      <w:r>
        <w:rPr>
          <w:rFonts w:hint="eastAsia" w:ascii="Times New Roman" w:hAnsi="Times New Roman" w:eastAsia="黑体" w:cs="Times New Roman"/>
          <w:b w:val="0"/>
          <w:bCs/>
          <w:color w:val="auto"/>
          <w:sz w:val="32"/>
          <w:szCs w:val="32"/>
          <w:highlight w:val="none"/>
          <w:lang w:eastAsia="zh-CN"/>
        </w:rPr>
        <w:t>一、指导思想</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深入贯彻落实习近平总书记关于安全生产的重要论述和重要指示精神，认真落实区委、区政府和市应急管理局关于安全生产工作部署要求，突出精准化和信息化执法，坚持严格规范公正文明执法，促进企业落实安全生产主体责任，有效防范遏制特大生产安全事故，推动全区安全生产形势持续稳定向好，</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lang w:val="en-US" w:eastAsia="zh-CN"/>
        </w:rPr>
        <w:t>青山高质量发展</w:t>
      </w:r>
      <w:r>
        <w:rPr>
          <w:rFonts w:hint="eastAsia" w:ascii="仿宋_GB2312" w:hAnsi="仿宋_GB2312" w:eastAsia="仿宋_GB2312" w:cs="仿宋_GB2312"/>
          <w:color w:val="auto"/>
          <w:sz w:val="32"/>
          <w:szCs w:val="32"/>
          <w:highlight w:val="none"/>
          <w:lang w:eastAsia="zh-CN"/>
        </w:rPr>
        <w:t>提供有力安全保障。</w:t>
      </w:r>
    </w:p>
    <w:p>
      <w:pPr>
        <w:keepNext w:val="0"/>
        <w:keepLines w:val="0"/>
        <w:pageBreakBefore w:val="0"/>
        <w:widowControl w:val="0"/>
        <w:kinsoku/>
        <w:wordWrap/>
        <w:overflowPunct/>
        <w:topLinePunct w:val="0"/>
        <w:autoSpaceDE/>
        <w:autoSpaceDN/>
        <w:bidi w:val="0"/>
        <w:adjustRightInd w:val="0"/>
        <w:snapToGrid/>
        <w:spacing w:line="568" w:lineRule="exact"/>
        <w:ind w:left="0" w:leftChars="0" w:firstLine="640" w:firstLineChars="200"/>
        <w:contextualSpacing/>
        <w:textAlignment w:val="auto"/>
        <w:rPr>
          <w:rFonts w:hint="default" w:ascii="Times New Roman" w:hAnsi="Times New Roman" w:eastAsia="黑体" w:cs="Times New Roman"/>
          <w:b w:val="0"/>
          <w:bCs/>
          <w:color w:val="auto"/>
          <w:sz w:val="32"/>
          <w:szCs w:val="32"/>
          <w:highlight w:val="none"/>
          <w:lang w:eastAsia="zh-CN"/>
        </w:rPr>
      </w:pPr>
      <w:r>
        <w:rPr>
          <w:rFonts w:hint="default" w:ascii="Times New Roman" w:hAnsi="Times New Roman" w:eastAsia="黑体" w:cs="Times New Roman"/>
          <w:b w:val="0"/>
          <w:bCs/>
          <w:color w:val="auto"/>
          <w:sz w:val="32"/>
          <w:szCs w:val="32"/>
          <w:highlight w:val="none"/>
          <w:lang w:eastAsia="zh-CN"/>
        </w:rPr>
        <w:t>二、主要任务</w:t>
      </w:r>
    </w:p>
    <w:p>
      <w:pPr>
        <w:keepNext w:val="0"/>
        <w:keepLines w:val="0"/>
        <w:pageBreakBefore w:val="0"/>
        <w:widowControl w:val="0"/>
        <w:kinsoku/>
        <w:wordWrap/>
        <w:overflowPunct/>
        <w:topLinePunct w:val="0"/>
        <w:autoSpaceDE/>
        <w:autoSpaceDN/>
        <w:bidi w:val="0"/>
        <w:adjustRightInd w:val="0"/>
        <w:snapToGrid/>
        <w:spacing w:line="568" w:lineRule="exact"/>
        <w:ind w:left="0" w:leftChars="0"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围绕安全生产治本攻坚三年行动开展，确定三个方面重点任务：一是聚焦重大事故隐患排查整治和企业主要负责人法定职责，全面提升企业安全管理水平；二是突出重大危险源点、重点作业环节、重要作业行为，聚焦春节、国庆假期等重要节点，开展专项执法、联合执法等活动，推动安全生产各项防范措施落实。三是围绕典型事故案例、安全生产举报、网络舆情等方面暴露的典型问题，深入剖析监管漏洞，找准制约安全生产的强弱项，补短板、堵漏洞。</w:t>
      </w:r>
    </w:p>
    <w:p>
      <w:pPr>
        <w:keepNext w:val="0"/>
        <w:keepLines w:val="0"/>
        <w:pageBreakBefore w:val="0"/>
        <w:widowControl w:val="0"/>
        <w:kinsoku/>
        <w:wordWrap/>
        <w:overflowPunct/>
        <w:topLinePunct w:val="0"/>
        <w:autoSpaceDE/>
        <w:autoSpaceDN/>
        <w:bidi w:val="0"/>
        <w:adjustRightInd/>
        <w:snapToGrid/>
        <w:spacing w:line="568" w:lineRule="exact"/>
        <w:ind w:firstLine="641"/>
        <w:textAlignment w:val="auto"/>
        <w:rPr>
          <w:rFonts w:hint="eastAsia" w:ascii="国标黑体" w:hAnsi="国标黑体" w:eastAsia="国标黑体" w:cs="国标黑体"/>
          <w:b w:val="0"/>
          <w:bCs/>
          <w:color w:val="auto"/>
          <w:sz w:val="32"/>
          <w:szCs w:val="32"/>
          <w:highlight w:val="none"/>
          <w:lang w:val="en-US" w:eastAsia="zh-CN"/>
        </w:rPr>
      </w:pPr>
      <w:r>
        <w:rPr>
          <w:rFonts w:hint="eastAsia" w:ascii="国标黑体" w:hAnsi="国标黑体" w:eastAsia="国标黑体" w:cs="国标黑体"/>
          <w:b w:val="0"/>
          <w:bCs/>
          <w:color w:val="auto"/>
          <w:sz w:val="32"/>
          <w:szCs w:val="32"/>
          <w:highlight w:val="none"/>
          <w:lang w:val="en-US" w:eastAsia="zh-CN"/>
        </w:rPr>
        <w:t>三、执法检查安排</w:t>
      </w:r>
    </w:p>
    <w:p>
      <w:pPr>
        <w:keepNext w:val="0"/>
        <w:keepLines w:val="0"/>
        <w:pageBreakBefore w:val="0"/>
        <w:widowControl w:val="0"/>
        <w:numPr>
          <w:ilvl w:val="0"/>
          <w:numId w:val="0"/>
        </w:numPr>
        <w:kinsoku/>
        <w:wordWrap/>
        <w:overflowPunct/>
        <w:topLinePunct w:val="0"/>
        <w:autoSpaceDE/>
        <w:autoSpaceDN/>
        <w:bidi w:val="0"/>
        <w:adjustRightInd/>
        <w:snapToGrid/>
        <w:spacing w:line="568"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val="0"/>
          <w:sz w:val="32"/>
          <w:szCs w:val="32"/>
          <w:lang w:val="en-US" w:eastAsia="zh-CN"/>
        </w:rPr>
        <w:t>（一）执法检查范围。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监督执法工作日448天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确定</w:t>
      </w:r>
      <w:r>
        <w:rPr>
          <w:rFonts w:hint="eastAsia" w:ascii="仿宋_GB2312" w:hAnsi="仿宋_GB2312" w:eastAsia="仿宋_GB2312" w:cs="仿宋_GB2312"/>
          <w:sz w:val="32"/>
          <w:szCs w:val="32"/>
        </w:rPr>
        <w:t>计划监督检查生产经营单位</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家，</w:t>
      </w:r>
      <w:r>
        <w:rPr>
          <w:rFonts w:hint="eastAsia" w:ascii="仿宋_GB2312" w:hAnsi="仿宋_GB2312" w:eastAsia="仿宋_GB2312" w:cs="仿宋_GB2312"/>
          <w:color w:val="auto"/>
          <w:sz w:val="32"/>
          <w:szCs w:val="32"/>
          <w:highlight w:val="none"/>
          <w:lang w:val="en-US" w:eastAsia="zh-CN"/>
        </w:rPr>
        <w:t>其中，重点监督检查企业79家，占执法检查企业数量的83.15%；一般监督检查企业16家，占执法检查数量的16.85%。</w:t>
      </w:r>
    </w:p>
    <w:p>
      <w:pPr>
        <w:keepNext w:val="0"/>
        <w:keepLines w:val="0"/>
        <w:pageBreakBefore w:val="0"/>
        <w:widowControl w:val="0"/>
        <w:kinsoku/>
        <w:wordWrap/>
        <w:overflowPunct/>
        <w:topLinePunct w:val="0"/>
        <w:autoSpaceDE/>
        <w:autoSpaceDN/>
        <w:bidi w:val="0"/>
        <w:adjustRightInd/>
        <w:snapToGrid/>
        <w:spacing w:line="568"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1.危险化学品企业。</w:t>
      </w:r>
      <w:r>
        <w:rPr>
          <w:rFonts w:hint="eastAsia" w:ascii="仿宋_GB2312" w:hAnsi="仿宋_GB2312" w:eastAsia="仿宋_GB2312" w:cs="仿宋_GB2312"/>
          <w:sz w:val="32"/>
          <w:szCs w:val="32"/>
          <w:lang w:val="en-US" w:eastAsia="zh-CN"/>
        </w:rPr>
        <w:t>对29家危险化学品企业进行全覆盖式重点监督检查，每家监督检查2次。抽查8家危化品票面经营企业；共重点监督检查66家（次）。采取“双随机”检查方式，对6家危险化学品企业开展一般监督检查。</w:t>
      </w:r>
    </w:p>
    <w:p>
      <w:pPr>
        <w:keepNext w:val="0"/>
        <w:keepLines w:val="0"/>
        <w:pageBreakBefore w:val="0"/>
        <w:widowControl w:val="0"/>
        <w:kinsoku/>
        <w:wordWrap/>
        <w:overflowPunct/>
        <w:topLinePunct w:val="0"/>
        <w:autoSpaceDE/>
        <w:autoSpaceDN/>
        <w:bidi w:val="0"/>
        <w:adjustRightInd/>
        <w:snapToGrid/>
        <w:spacing w:line="568"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2.加油站。</w:t>
      </w:r>
      <w:r>
        <w:rPr>
          <w:rFonts w:hint="eastAsia" w:ascii="仿宋_GB2312" w:hAnsi="仿宋_GB2312" w:eastAsia="仿宋_GB2312" w:cs="仿宋_GB2312"/>
          <w:sz w:val="32"/>
          <w:szCs w:val="32"/>
          <w:lang w:val="en-US" w:eastAsia="zh-CN"/>
        </w:rPr>
        <w:t>对16家加油站进行全覆盖式重点监督检查，每家加油站监督检查2次，共重点监督检查32家（次）。 采取“双随机”检查方式，对4家加油站开展一般监督检查。</w:t>
      </w:r>
    </w:p>
    <w:p>
      <w:pPr>
        <w:keepNext w:val="0"/>
        <w:keepLines w:val="0"/>
        <w:pageBreakBefore w:val="0"/>
        <w:widowControl w:val="0"/>
        <w:kinsoku/>
        <w:wordWrap/>
        <w:overflowPunct/>
        <w:topLinePunct w:val="0"/>
        <w:autoSpaceDE/>
        <w:autoSpaceDN/>
        <w:bidi w:val="0"/>
        <w:adjustRightInd/>
        <w:snapToGrid/>
        <w:spacing w:line="568"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3.工贸企业。</w:t>
      </w:r>
      <w:r>
        <w:rPr>
          <w:rFonts w:hint="eastAsia" w:ascii="仿宋_GB2312" w:hAnsi="仿宋_GB2312" w:eastAsia="仿宋_GB2312" w:cs="仿宋_GB2312"/>
          <w:sz w:val="32"/>
          <w:szCs w:val="32"/>
          <w:lang w:val="en-US" w:eastAsia="zh-CN"/>
        </w:rPr>
        <w:t>对26家重点监管的工贸企业进行监督检查，每家企业监督检查2次，共重点监督检查52家（次）。采取“双随机”检查方式，对6家工贸企业开展一般监督检查。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8"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val="0"/>
          <w:sz w:val="32"/>
          <w:szCs w:val="32"/>
          <w:lang w:val="en-US" w:eastAsia="zh-CN"/>
        </w:rPr>
        <w:t>（二）执法检查方式。</w:t>
      </w:r>
      <w:r>
        <w:rPr>
          <w:rFonts w:hint="eastAsia" w:ascii="仿宋_GB2312" w:hAnsi="仿宋_GB2312" w:eastAsia="仿宋_GB2312" w:cs="仿宋_GB2312"/>
          <w:sz w:val="32"/>
          <w:szCs w:val="32"/>
          <w:lang w:val="en-US" w:eastAsia="zh-CN"/>
        </w:rPr>
        <w:t>按照深入推进应急管理综合行政执法改革，切实提升执法效能的原则，针对危险化学品、金属冶炼及涉有限空间作业、涉爆粉尘企业等重点检查企业，开展精准执法；针对重点时期安全保障要求，对存在重大安全风险、重大危险源点、高风险作业活动的企业组织开展双随机抽查、突击检查；针对典型事故暴露出的违法问题，安全生产领域存在的突出风险以及投诉举报等发现的问题，根据不同时间节点、季节特点、地域行业特点开展专项执法检查，全面提升安全生产执法效能。</w:t>
      </w:r>
    </w:p>
    <w:p>
      <w:pPr>
        <w:keepNext w:val="0"/>
        <w:keepLines w:val="0"/>
        <w:pageBreakBefore w:val="0"/>
        <w:widowControl w:val="0"/>
        <w:kinsoku/>
        <w:wordWrap/>
        <w:overflowPunct/>
        <w:topLinePunct w:val="0"/>
        <w:autoSpaceDE/>
        <w:autoSpaceDN/>
        <w:bidi w:val="0"/>
        <w:adjustRightInd w:val="0"/>
        <w:snapToGrid/>
        <w:spacing w:line="568" w:lineRule="exact"/>
        <w:ind w:left="0" w:leftChars="0" w:firstLine="642" w:firstLineChars="200"/>
        <w:contextualSpacing/>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val="0"/>
          <w:sz w:val="32"/>
          <w:szCs w:val="32"/>
          <w:lang w:val="en-US" w:eastAsia="zh-CN"/>
        </w:rPr>
        <w:t>（三）执法检查内容。</w:t>
      </w:r>
      <w:r>
        <w:rPr>
          <w:rFonts w:hint="eastAsia" w:ascii="仿宋_GB2312" w:hAnsi="仿宋_GB2312" w:eastAsia="仿宋_GB2312" w:cs="仿宋_GB2312"/>
          <w:sz w:val="32"/>
          <w:szCs w:val="32"/>
          <w:lang w:val="en-US" w:eastAsia="zh-CN"/>
        </w:rPr>
        <w:t>《安全生产法》《湖北省安全生产条例》等法律法规和《国家安全监管总局办公厅关于印发安全生产、职业健康监督检查重点事项表（2017版试行）的通知》（原安监总厅政法〔2017〕90号）、《安全生产执法手册（2020年版）》规定的事项。</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国标黑体" w:hAnsi="国标黑体" w:eastAsia="国标黑体" w:cs="国标黑体"/>
          <w:b w:val="0"/>
          <w:bCs w:val="0"/>
          <w:sz w:val="32"/>
          <w:szCs w:val="32"/>
          <w:lang w:val="en-US" w:eastAsia="zh-CN"/>
        </w:rPr>
      </w:pPr>
      <w:r>
        <w:rPr>
          <w:rFonts w:hint="eastAsia" w:ascii="国标黑体" w:hAnsi="国标黑体" w:eastAsia="国标黑体" w:cs="国标黑体"/>
          <w:b w:val="0"/>
          <w:bCs w:val="0"/>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8"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lang w:val="en-US" w:eastAsia="zh-CN"/>
        </w:rPr>
        <w:t>（一）严格组织实施。</w:t>
      </w:r>
      <w:r>
        <w:rPr>
          <w:rFonts w:hint="eastAsia" w:ascii="仿宋_GB2312" w:hAnsi="仿宋_GB2312" w:eastAsia="仿宋_GB2312" w:cs="仿宋_GB2312"/>
          <w:sz w:val="32"/>
          <w:szCs w:val="32"/>
          <w:lang w:val="en-US" w:eastAsia="zh-CN"/>
        </w:rPr>
        <w:t>负有安全生产监督检查职责的科室要高度重视，严格按照计划开展监督检查，发现问题隐患依法依规及时处理。对依法应给予行政处罚的违法行为，依法及时移交市应急管理综合执法支队八大队、九大队，跟踪违法行为处理，确保</w:t>
      </w:r>
      <w:r>
        <w:rPr>
          <w:rFonts w:hint="eastAsia" w:ascii="仿宋_GB2312" w:hAnsi="仿宋_GB2312" w:eastAsia="仿宋_GB2312" w:cs="仿宋_GB2312"/>
          <w:sz w:val="32"/>
          <w:szCs w:val="32"/>
        </w:rPr>
        <w:t>问题隐患整改到位。</w:t>
      </w:r>
    </w:p>
    <w:p>
      <w:pPr>
        <w:keepNext w:val="0"/>
        <w:keepLines w:val="0"/>
        <w:pageBreakBefore w:val="0"/>
        <w:widowControl w:val="0"/>
        <w:kinsoku/>
        <w:wordWrap/>
        <w:overflowPunct/>
        <w:topLinePunct w:val="0"/>
        <w:autoSpaceDE/>
        <w:autoSpaceDN/>
        <w:bidi w:val="0"/>
        <w:adjustRightInd/>
        <w:snapToGrid/>
        <w:spacing w:line="568"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lang w:val="en-US" w:eastAsia="zh-CN"/>
        </w:rPr>
        <w:t>（二）加强沟通协作。</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与市级应急管理部门</w:t>
      </w:r>
      <w:r>
        <w:rPr>
          <w:rFonts w:hint="eastAsia" w:ascii="仿宋_GB2312" w:hAnsi="仿宋_GB2312" w:eastAsia="仿宋_GB2312" w:cs="仿宋_GB2312"/>
          <w:sz w:val="32"/>
          <w:szCs w:val="32"/>
        </w:rPr>
        <w:t>监督检查计划的</w:t>
      </w:r>
      <w:r>
        <w:rPr>
          <w:rFonts w:hint="eastAsia" w:ascii="仿宋_GB2312" w:hAnsi="仿宋_GB2312" w:eastAsia="仿宋_GB2312" w:cs="仿宋_GB2312"/>
          <w:sz w:val="32"/>
          <w:szCs w:val="32"/>
          <w:lang w:val="en-US" w:eastAsia="zh-CN"/>
        </w:rPr>
        <w:t>衔接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避免多头重复执法，同时</w:t>
      </w:r>
      <w:r>
        <w:rPr>
          <w:rFonts w:hint="eastAsia" w:ascii="仿宋_GB2312" w:hAnsi="仿宋_GB2312" w:eastAsia="仿宋_GB2312" w:cs="仿宋_GB2312"/>
          <w:sz w:val="32"/>
          <w:szCs w:val="32"/>
        </w:rPr>
        <w:t>实现重点监督检查企业的全覆盖，切实消除监管</w:t>
      </w:r>
      <w:r>
        <w:rPr>
          <w:rFonts w:hint="eastAsia" w:ascii="仿宋_GB2312" w:hAnsi="仿宋_GB2312" w:eastAsia="仿宋_GB2312" w:cs="仿宋_GB2312"/>
          <w:color w:val="auto"/>
          <w:sz w:val="32"/>
          <w:szCs w:val="32"/>
        </w:rPr>
        <w:t>盲</w:t>
      </w:r>
      <w:r>
        <w:rPr>
          <w:rFonts w:hint="eastAsia" w:ascii="仿宋_GB2312" w:hAnsi="仿宋_GB2312" w:eastAsia="仿宋_GB2312" w:cs="仿宋_GB2312"/>
          <w:b w:val="0"/>
          <w:bCs w:val="0"/>
          <w:color w:val="auto"/>
          <w:sz w:val="32"/>
          <w:szCs w:val="32"/>
        </w:rPr>
        <w:t>区。</w:t>
      </w:r>
      <w:r>
        <w:rPr>
          <w:rFonts w:hint="eastAsia" w:ascii="仿宋_GB2312" w:hAnsi="仿宋_GB2312" w:eastAsia="仿宋_GB2312" w:cs="仿宋_GB2312"/>
          <w:b w:val="0"/>
          <w:bCs w:val="0"/>
          <w:color w:val="auto"/>
          <w:sz w:val="32"/>
          <w:szCs w:val="32"/>
          <w:lang w:val="en-US" w:eastAsia="zh-CN"/>
        </w:rPr>
        <w:t>化工监管科、安监科、协调科根据职责分工，积极对接市应急管理综合执法支队八大队、九大队，将</w:t>
      </w:r>
      <w:r>
        <w:rPr>
          <w:rFonts w:hint="default" w:ascii="仿宋_GB2312" w:hAnsi="仿宋_GB2312" w:eastAsia="仿宋_GB2312" w:cs="仿宋_GB2312"/>
          <w:b w:val="0"/>
          <w:bCs w:val="0"/>
          <w:color w:val="auto"/>
          <w:sz w:val="32"/>
          <w:szCs w:val="32"/>
          <w:lang w:val="en-US" w:eastAsia="zh-CN"/>
        </w:rPr>
        <w:t>其他</w:t>
      </w:r>
      <w:r>
        <w:rPr>
          <w:rFonts w:hint="eastAsia" w:ascii="仿宋_GB2312" w:hAnsi="仿宋_GB2312" w:eastAsia="仿宋_GB2312" w:cs="仿宋_GB2312"/>
          <w:b w:val="0"/>
          <w:bCs w:val="0"/>
          <w:color w:val="auto"/>
          <w:sz w:val="32"/>
          <w:szCs w:val="32"/>
          <w:lang w:val="en-US" w:eastAsia="zh-CN"/>
        </w:rPr>
        <w:t>符合规定</w:t>
      </w:r>
      <w:r>
        <w:rPr>
          <w:rFonts w:hint="default"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lang w:val="en-US" w:eastAsia="zh-CN"/>
        </w:rPr>
        <w:t>危化企业、重点工贸企业和</w:t>
      </w:r>
      <w:r>
        <w:rPr>
          <w:rFonts w:hint="default" w:ascii="仿宋_GB2312" w:hAnsi="仿宋_GB2312" w:eastAsia="仿宋_GB2312" w:cs="仿宋_GB2312"/>
          <w:b w:val="0"/>
          <w:bCs w:val="0"/>
          <w:color w:val="auto"/>
          <w:sz w:val="32"/>
          <w:szCs w:val="32"/>
          <w:lang w:val="en-US" w:eastAsia="zh-CN"/>
        </w:rPr>
        <w:t>近三年发生</w:t>
      </w:r>
      <w:r>
        <w:rPr>
          <w:rFonts w:hint="eastAsia" w:ascii="仿宋_GB2312" w:hAnsi="仿宋_GB2312" w:eastAsia="仿宋_GB2312" w:cs="仿宋_GB2312"/>
          <w:b w:val="0"/>
          <w:bCs w:val="0"/>
          <w:color w:val="auto"/>
          <w:sz w:val="32"/>
          <w:szCs w:val="32"/>
          <w:lang w:val="en-US" w:eastAsia="zh-CN"/>
        </w:rPr>
        <w:t>亡人工矿商贸</w:t>
      </w:r>
      <w:r>
        <w:rPr>
          <w:rFonts w:hint="default" w:ascii="仿宋_GB2312" w:hAnsi="仿宋_GB2312" w:eastAsia="仿宋_GB2312" w:cs="仿宋_GB2312"/>
          <w:b w:val="0"/>
          <w:bCs w:val="0"/>
          <w:color w:val="auto"/>
          <w:sz w:val="32"/>
          <w:szCs w:val="32"/>
          <w:lang w:val="en-US" w:eastAsia="zh-CN"/>
        </w:rPr>
        <w:t>事故</w:t>
      </w:r>
      <w:r>
        <w:rPr>
          <w:rFonts w:hint="eastAsia" w:ascii="仿宋_GB2312" w:hAnsi="仿宋_GB2312" w:eastAsia="仿宋_GB2312" w:cs="仿宋_GB2312"/>
          <w:b w:val="0"/>
          <w:bCs w:val="0"/>
          <w:color w:val="auto"/>
          <w:sz w:val="32"/>
          <w:szCs w:val="32"/>
          <w:lang w:val="en-US" w:eastAsia="zh-CN"/>
        </w:rPr>
        <w:t>的企业，建议八大队、九大队统筹纳入监督检查计划。</w:t>
      </w:r>
    </w:p>
    <w:p>
      <w:pPr>
        <w:keepNext w:val="0"/>
        <w:keepLines w:val="0"/>
        <w:pageBreakBefore w:val="0"/>
        <w:widowControl w:val="0"/>
        <w:numPr>
          <w:ilvl w:val="0"/>
          <w:numId w:val="0"/>
        </w:numPr>
        <w:kinsoku/>
        <w:wordWrap/>
        <w:overflowPunct/>
        <w:topLinePunct w:val="0"/>
        <w:autoSpaceDE/>
        <w:autoSpaceDN/>
        <w:bidi w:val="0"/>
        <w:adjustRightInd/>
        <w:snapToGrid/>
        <w:spacing w:line="568"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val="0"/>
          <w:sz w:val="32"/>
          <w:szCs w:val="32"/>
          <w:lang w:val="en-US" w:eastAsia="zh-CN"/>
        </w:rPr>
        <w:t>（三）严控检查频次。</w:t>
      </w:r>
      <w:r>
        <w:rPr>
          <w:rFonts w:hint="eastAsia" w:ascii="仿宋_GB2312" w:hAnsi="仿宋_GB2312" w:eastAsia="仿宋_GB2312" w:cs="仿宋_GB2312"/>
          <w:sz w:val="32"/>
          <w:szCs w:val="32"/>
          <w:lang w:val="en-US" w:eastAsia="zh-CN"/>
        </w:rPr>
        <w:t>按照《湖北省应急管理厅关于严格规范涉企检查的通知》的相关要求，年度检查实行差异化行政检查。对危化、工贸重点行业等高危行业领域安全生产企业，年度内累计检查不超过2次，对其他非高危行业领域安全生产企业年度内累计检查不超过2次。杜绝只检查安全管理水平高、安全风险低的企业等选择性检查现象，杜绝各类无工作计划、无实际内容的入企检查，避免反复检查和扎堆检查。</w:t>
      </w:r>
    </w:p>
    <w:p>
      <w:pPr>
        <w:keepNext w:val="0"/>
        <w:keepLines w:val="0"/>
        <w:pageBreakBefore w:val="0"/>
        <w:widowControl w:val="0"/>
        <w:kinsoku/>
        <w:wordWrap/>
        <w:overflowPunct/>
        <w:topLinePunct w:val="0"/>
        <w:autoSpaceDE/>
        <w:autoSpaceDN/>
        <w:bidi w:val="0"/>
        <w:snapToGrid/>
        <w:spacing w:line="568" w:lineRule="exact"/>
        <w:ind w:firstLine="642"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楷体_GB2312" w:hAnsi="楷体_GB2312" w:eastAsia="楷体_GB2312" w:cs="楷体_GB2312"/>
          <w:b/>
          <w:bCs w:val="0"/>
          <w:sz w:val="32"/>
          <w:szCs w:val="32"/>
          <w:lang w:val="en-US" w:eastAsia="zh-CN"/>
        </w:rPr>
        <w:t>（四）规范执法程序。</w:t>
      </w:r>
      <w:r>
        <w:rPr>
          <w:rFonts w:hint="eastAsia" w:ascii="仿宋_GB2312" w:hAnsi="仿宋_GB2312" w:eastAsia="仿宋_GB2312" w:cs="仿宋_GB2312"/>
          <w:sz w:val="32"/>
          <w:szCs w:val="32"/>
          <w:lang w:val="en-US" w:eastAsia="zh-CN"/>
        </w:rPr>
        <w:t>进入企业执法检查，执法人员要主动出示执法证件，并将执法人员信息和执法行为规范告知企业，</w:t>
      </w:r>
      <w:r>
        <w:rPr>
          <w:rFonts w:hint="default" w:ascii="仿宋_GB2312" w:hAnsi="仿宋_GB2312" w:eastAsia="仿宋_GB2312" w:cs="仿宋_GB2312"/>
          <w:sz w:val="32"/>
          <w:szCs w:val="32"/>
          <w:lang w:val="en-US" w:eastAsia="zh-CN"/>
        </w:rPr>
        <w:t>严格落实</w:t>
      </w:r>
      <w:r>
        <w:rPr>
          <w:rFonts w:hint="eastAsia" w:ascii="仿宋_GB2312" w:hAnsi="仿宋_GB2312" w:eastAsia="仿宋_GB2312" w:cs="仿宋_GB2312"/>
          <w:sz w:val="32"/>
          <w:szCs w:val="32"/>
          <w:lang w:val="en-US" w:eastAsia="zh-CN"/>
        </w:rPr>
        <w:t>行政执法</w:t>
      </w:r>
      <w:r>
        <w:rPr>
          <w:rFonts w:hint="default" w:ascii="仿宋_GB2312" w:hAnsi="仿宋_GB2312" w:eastAsia="仿宋_GB2312" w:cs="仿宋_GB2312"/>
          <w:sz w:val="32"/>
          <w:szCs w:val="32"/>
          <w:lang w:val="en-US" w:eastAsia="zh-CN"/>
        </w:rPr>
        <w:t>“三项制度”，认真做好执法过程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执法结果等执法信息公示</w:t>
      </w:r>
      <w:r>
        <w:rPr>
          <w:rFonts w:hint="eastAsia" w:ascii="仿宋_GB2312" w:hAnsi="仿宋_GB2312" w:eastAsia="仿宋_GB2312" w:cs="仿宋_GB2312"/>
          <w:sz w:val="32"/>
          <w:szCs w:val="32"/>
          <w:lang w:val="en-US" w:eastAsia="zh-CN"/>
        </w:rPr>
        <w:t>，加强对关键证据及</w:t>
      </w:r>
      <w:r>
        <w:rPr>
          <w:rFonts w:hint="default" w:ascii="仿宋_GB2312" w:hAnsi="仿宋_GB2312" w:eastAsia="仿宋_GB2312" w:cs="仿宋_GB2312"/>
          <w:sz w:val="32"/>
          <w:szCs w:val="32"/>
          <w:lang w:val="en-US" w:eastAsia="zh-CN"/>
        </w:rPr>
        <w:t>容易引起争议</w:t>
      </w:r>
      <w:r>
        <w:rPr>
          <w:rFonts w:hint="eastAsia" w:ascii="仿宋_GB2312" w:hAnsi="仿宋_GB2312" w:eastAsia="仿宋_GB2312" w:cs="仿宋_GB2312"/>
          <w:sz w:val="32"/>
          <w:szCs w:val="32"/>
          <w:lang w:val="en-US" w:eastAsia="zh-CN"/>
        </w:rPr>
        <w:t>环节的音像记录</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snapToGrid/>
        <w:spacing w:line="568"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val="0"/>
          <w:sz w:val="32"/>
          <w:szCs w:val="32"/>
          <w:lang w:val="en-US" w:eastAsia="zh-CN"/>
        </w:rPr>
        <w:t>（五）做好指导服务。</w:t>
      </w:r>
      <w:r>
        <w:rPr>
          <w:rFonts w:hint="eastAsia" w:ascii="仿宋_GB2312" w:hAnsi="仿宋_GB2312" w:eastAsia="仿宋_GB2312" w:cs="仿宋_GB2312"/>
          <w:sz w:val="32"/>
          <w:szCs w:val="32"/>
          <w:lang w:val="en-US" w:eastAsia="zh-CN"/>
        </w:rPr>
        <w:t>开展日常检查执法时，提供跟踪指导、专家释疑、技术帮助、法律咨询等多种服务，教育引导生产经营单位自觉遵守安全生产规定，变被执法为主动服务，保护和激发市场主体活力。</w:t>
      </w:r>
    </w:p>
    <w:p>
      <w:pPr>
        <w:keepNext w:val="0"/>
        <w:keepLines w:val="0"/>
        <w:pageBreakBefore w:val="0"/>
        <w:widowControl w:val="0"/>
        <w:numPr>
          <w:ilvl w:val="0"/>
          <w:numId w:val="0"/>
        </w:numPr>
        <w:kinsoku/>
        <w:wordWrap/>
        <w:overflowPunct/>
        <w:topLinePunct w:val="0"/>
        <w:autoSpaceDE/>
        <w:autoSpaceDN/>
        <w:bidi w:val="0"/>
        <w:snapToGrid/>
        <w:spacing w:line="568"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val="0"/>
          <w:sz w:val="32"/>
          <w:szCs w:val="32"/>
          <w:lang w:val="en-US" w:eastAsia="zh-CN"/>
        </w:rPr>
        <w:t>（六）推进执法信息化。</w:t>
      </w:r>
      <w:r>
        <w:rPr>
          <w:rFonts w:hint="eastAsia" w:ascii="仿宋_GB2312" w:hAnsi="仿宋_GB2312" w:eastAsia="仿宋_GB2312" w:cs="仿宋_GB2312"/>
          <w:sz w:val="32"/>
          <w:szCs w:val="32"/>
          <w:lang w:val="en-US" w:eastAsia="zh-CN"/>
        </w:rPr>
        <w:t>推进行政执法信息化建设，在执法检查过程中全面使用湖北省应急管理综合应用平台监管执法系统，及时将相关执法情况、双随机计划录入“互联网+监管”等信息系统，逐步实现执法全程线上操作。</w:t>
      </w:r>
    </w:p>
    <w:p>
      <w:pPr>
        <w:keepNext w:val="0"/>
        <w:keepLines w:val="0"/>
        <w:pageBreakBefore w:val="0"/>
        <w:widowControl w:val="0"/>
        <w:numPr>
          <w:ilvl w:val="0"/>
          <w:numId w:val="0"/>
        </w:numPr>
        <w:kinsoku/>
        <w:wordWrap/>
        <w:overflowPunct/>
        <w:topLinePunct w:val="0"/>
        <w:autoSpaceDE/>
        <w:autoSpaceDN/>
        <w:bidi w:val="0"/>
        <w:adjustRightInd/>
        <w:snapToGrid/>
        <w:spacing w:line="568"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val="0"/>
          <w:sz w:val="32"/>
          <w:szCs w:val="32"/>
          <w:lang w:val="en-US" w:eastAsia="zh-CN"/>
        </w:rPr>
        <w:t>（七）严守工作纪律。</w:t>
      </w:r>
      <w:r>
        <w:rPr>
          <w:rFonts w:hint="eastAsia" w:ascii="仿宋_GB2312" w:hAnsi="仿宋_GB2312" w:eastAsia="仿宋_GB2312" w:cs="仿宋_GB2312"/>
          <w:sz w:val="32"/>
          <w:szCs w:val="32"/>
          <w:lang w:val="en-US" w:eastAsia="zh-CN"/>
        </w:rPr>
        <w:t>严格遵守中央八项规定精神，严禁违规吃喝，严禁收受财物，坚守法纪红线，严守道德底线，做到严格执法、规范执法、公正执法、文明执法和廉洁执法。严肃执法风纪，树立应急管理部门良好执法形象。</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r>
        <w:rPr>
          <w:rFonts w:hint="eastAsia"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sz w:val="32"/>
          <w:szCs w:val="32"/>
          <w:lang w:val="en-US" w:eastAsia="zh-CN"/>
        </w:rPr>
        <w:t>监督检查工作日测算</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 w:eastAsia="zh-CN"/>
        </w:rPr>
        <w:t xml:space="preserve"> </w:t>
      </w:r>
      <w:r>
        <w:rPr>
          <w:rFonts w:hint="eastAsia" w:ascii="仿宋_GB2312" w:hAnsi="仿宋_GB2312" w:eastAsia="仿宋_GB2312" w:cs="仿宋_GB2312"/>
          <w:b w:val="0"/>
          <w:bCs w:val="0"/>
          <w:sz w:val="32"/>
          <w:szCs w:val="32"/>
          <w:lang w:val="en-US" w:eastAsia="zh-CN"/>
        </w:rPr>
        <w:t xml:space="preserve">     2</w:t>
      </w:r>
      <w:r>
        <w:rPr>
          <w:rFonts w:hint="eastAsia" w:ascii="仿宋_GB2312" w:hAnsi="仿宋_GB2312" w:eastAsia="仿宋_GB2312" w:cs="仿宋_GB2312"/>
          <w:b w:val="0"/>
          <w:bCs w:val="0"/>
          <w:sz w:val="32"/>
          <w:szCs w:val="32"/>
          <w:lang w:val="en" w:eastAsia="zh-CN"/>
        </w:rPr>
        <w:t>.</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 w:eastAsia="zh-CN"/>
        </w:rPr>
        <w:t>5</w:t>
      </w:r>
      <w:r>
        <w:rPr>
          <w:rFonts w:hint="eastAsia" w:ascii="仿宋_GB2312" w:hAnsi="仿宋_GB2312" w:eastAsia="仿宋_GB2312" w:cs="仿宋_GB2312"/>
          <w:sz w:val="32"/>
          <w:szCs w:val="32"/>
          <w:lang w:eastAsia="zh-CN"/>
        </w:rPr>
        <w:t>年重点监督检查安排表</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 w:eastAsia="zh-CN"/>
        </w:rPr>
        <w:t>5</w:t>
      </w:r>
      <w:r>
        <w:rPr>
          <w:rFonts w:hint="eastAsia" w:ascii="仿宋_GB2312" w:hAnsi="仿宋_GB2312" w:eastAsia="仿宋_GB2312" w:cs="仿宋_GB2312"/>
          <w:sz w:val="32"/>
          <w:szCs w:val="32"/>
          <w:lang w:eastAsia="zh-CN"/>
        </w:rPr>
        <w:t>年一般监督检查安排表</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leftChars="200"/>
        <w:textAlignment w:val="auto"/>
        <w:rPr>
          <w:rFonts w:hint="eastAsia" w:ascii="仿宋_GB2312" w:hAnsi="仿宋_GB2312" w:eastAsia="仿宋_GB2312" w:cs="仿宋_GB2312"/>
          <w:b w:val="0"/>
          <w:bCs w:val="0"/>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snapToGrid/>
        <w:spacing w:line="568" w:lineRule="exact"/>
        <w:jc w:val="center"/>
        <w:textAlignment w:val="auto"/>
        <w:rPr>
          <w:rFonts w:hint="eastAsia" w:ascii="国标小标宋" w:hAnsi="国标小标宋" w:eastAsia="国标小标宋" w:cs="国标小标宋"/>
          <w:b/>
          <w:bCs/>
          <w:sz w:val="44"/>
          <w:szCs w:val="44"/>
          <w:lang w:val="en-US" w:eastAsia="zh-CN"/>
        </w:rPr>
      </w:pPr>
      <w:r>
        <w:rPr>
          <w:rFonts w:hint="eastAsia" w:ascii="国标小标宋" w:hAnsi="国标小标宋" w:eastAsia="国标小标宋" w:cs="国标小标宋"/>
          <w:b/>
          <w:bCs/>
          <w:sz w:val="44"/>
          <w:szCs w:val="44"/>
          <w:lang w:val="en-US" w:eastAsia="zh-CN"/>
        </w:rPr>
        <w:t>监督检查工作日测算</w:t>
      </w:r>
    </w:p>
    <w:p>
      <w:pPr>
        <w:keepNext w:val="0"/>
        <w:keepLines w:val="0"/>
        <w:pageBreakBefore w:val="0"/>
        <w:widowControl w:val="0"/>
        <w:kinsoku/>
        <w:wordWrap/>
        <w:overflowPunct/>
        <w:topLinePunct w:val="0"/>
        <w:autoSpaceDE/>
        <w:autoSpaceDN/>
        <w:bidi w:val="0"/>
        <w:snapToGrid/>
        <w:spacing w:line="568"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一、监督检查力量</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区应急管理局负责安全生产监督检查执法人员8人，</w:t>
      </w:r>
      <w:r>
        <w:rPr>
          <w:rFonts w:hint="default" w:ascii="仿宋_GB2312" w:hAnsi="仿宋_GB2312" w:eastAsia="仿宋_GB2312" w:cs="仿宋_GB2312"/>
          <w:sz w:val="32"/>
          <w:szCs w:val="32"/>
          <w:lang w:val="en-US" w:eastAsia="zh-CN"/>
        </w:rPr>
        <w:t>占安全生产监管工作人员总数（</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人）的</w:t>
      </w:r>
      <w:r>
        <w:rPr>
          <w:rFonts w:hint="eastAsia" w:ascii="仿宋_GB2312" w:hAnsi="仿宋_GB2312" w:eastAsia="仿宋_GB2312" w:cs="仿宋_GB2312"/>
          <w:sz w:val="32"/>
          <w:szCs w:val="32"/>
          <w:lang w:val="en-US" w:eastAsia="zh-CN"/>
        </w:rPr>
        <w:t>80</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。具体如下：</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局领导：2人；</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办公室：2人；</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安全生产综合协调科：2人；</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安全生产监督管理科：1人：</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化工监管科：1人。</w:t>
      </w:r>
    </w:p>
    <w:p>
      <w:pPr>
        <w:keepNext w:val="0"/>
        <w:keepLines w:val="0"/>
        <w:pageBreakBefore w:val="0"/>
        <w:widowControl w:val="0"/>
        <w:kinsoku/>
        <w:wordWrap/>
        <w:overflowPunct/>
        <w:topLinePunct w:val="0"/>
        <w:autoSpaceDE/>
        <w:autoSpaceDN/>
        <w:bidi w:val="0"/>
        <w:adjustRightInd/>
        <w:snapToGrid/>
        <w:spacing w:line="568" w:lineRule="exac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w:t>
      </w:r>
      <w:r>
        <w:rPr>
          <w:rFonts w:hint="eastAsia" w:ascii="国标黑体" w:hAnsi="国标黑体" w:eastAsia="国标黑体" w:cs="国标黑体"/>
          <w:b w:val="0"/>
          <w:bCs w:val="0"/>
          <w:sz w:val="32"/>
          <w:szCs w:val="32"/>
          <w:lang w:val="en-US" w:eastAsia="zh-CN"/>
        </w:rPr>
        <w:t xml:space="preserve"> 二、监督检查工作日</w:t>
      </w:r>
    </w:p>
    <w:p>
      <w:pPr>
        <w:keepNext w:val="0"/>
        <w:keepLines w:val="0"/>
        <w:pageBreakBefore w:val="0"/>
        <w:widowControl w:val="0"/>
        <w:kinsoku/>
        <w:wordWrap/>
        <w:overflowPunct/>
        <w:topLinePunct w:val="0"/>
        <w:autoSpaceDE/>
        <w:autoSpaceDN/>
        <w:bidi w:val="0"/>
        <w:adjustRightInd/>
        <w:snapToGrid/>
        <w:spacing w:line="568"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（一）总法定工作日。</w:t>
      </w:r>
      <w:r>
        <w:rPr>
          <w:rFonts w:hint="eastAsia" w:ascii="仿宋_GB2312" w:hAnsi="仿宋_GB2312" w:eastAsia="仿宋_GB2312" w:cs="仿宋_GB2312"/>
          <w:sz w:val="32"/>
          <w:szCs w:val="32"/>
          <w:lang w:val="en-US" w:eastAsia="zh-CN"/>
        </w:rPr>
        <w:t>依据原国家安全监管总局《关于印发安全生产年度监督检查计划编制办法》（安监总政法〔2017〕150号）的要求，总法定工作日=法定工作日×执法人员总数</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365-53×2-13）×8=1968个工作日。</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国家法定工作日=全年天数-双休日-法定节假日=365-53×2-13=246</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总法定工作日=国家法定工作日×纳入计算执法人员总数246×8=1968</w:t>
      </w:r>
    </w:p>
    <w:p>
      <w:pPr>
        <w:keepNext w:val="0"/>
        <w:keepLines w:val="0"/>
        <w:pageBreakBefore w:val="0"/>
        <w:widowControl w:val="0"/>
        <w:kinsoku/>
        <w:wordWrap/>
        <w:overflowPunct/>
        <w:topLinePunct w:val="0"/>
        <w:autoSpaceDE/>
        <w:autoSpaceDN/>
        <w:bidi w:val="0"/>
        <w:adjustRightInd/>
        <w:snapToGrid/>
        <w:spacing w:line="568"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（二）监督检查工作日。</w:t>
      </w:r>
      <w:r>
        <w:rPr>
          <w:rFonts w:hint="eastAsia" w:ascii="仿宋_GB2312" w:hAnsi="仿宋_GB2312" w:eastAsia="仿宋_GB2312" w:cs="仿宋_GB2312"/>
          <w:sz w:val="32"/>
          <w:szCs w:val="32"/>
          <w:lang w:val="en-US" w:eastAsia="zh-CN"/>
        </w:rPr>
        <w:t>执法检查工作日为总法定工作日减去其他执法工作日和非执法工作日所剩余的工作日：1968-830-690=448天）</w:t>
      </w:r>
    </w:p>
    <w:p>
      <w:pPr>
        <w:keepNext w:val="0"/>
        <w:keepLines w:val="0"/>
        <w:pageBreakBefore w:val="0"/>
        <w:widowControl w:val="0"/>
        <w:kinsoku/>
        <w:wordWrap/>
        <w:overflowPunct/>
        <w:topLinePunct w:val="0"/>
        <w:autoSpaceDE/>
        <w:autoSpaceDN/>
        <w:bidi w:val="0"/>
        <w:adjustRightInd/>
        <w:snapToGrid/>
        <w:spacing w:line="568"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（三）其他执法工作日。</w:t>
      </w:r>
      <w:r>
        <w:rPr>
          <w:rFonts w:hint="eastAsia" w:ascii="仿宋_GB2312" w:hAnsi="仿宋_GB2312" w:eastAsia="仿宋_GB2312" w:cs="仿宋_GB2312"/>
          <w:sz w:val="32"/>
          <w:szCs w:val="32"/>
          <w:lang w:val="en-US" w:eastAsia="zh-CN"/>
        </w:rPr>
        <w:t>根据以下9项工作所占用的工作日近3年数据测算，共计830天。</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1.开展安全生产综合监管200个工作日；</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2.生产安全事故调查和处理150个工作日；</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3.调查核实安全生产投诉举报100个工作日；</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4.参加有关部门联合执法100个工作日；</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5.办理有关法律、法规、规章规定的登记、备案100个工作日；</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6.开展对中介服务机构的监督检查20个工作日；</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7.开展安全生产宣传教育培训50个工作日；</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8.办理行政复议、行政应诉10个工作日；</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9.完成本级人民政府或者上级应急管理部门安排的执法工作任务100个工作日；</w:t>
      </w:r>
    </w:p>
    <w:p>
      <w:pPr>
        <w:keepNext w:val="0"/>
        <w:keepLines w:val="0"/>
        <w:pageBreakBefore w:val="0"/>
        <w:widowControl w:val="0"/>
        <w:kinsoku/>
        <w:wordWrap/>
        <w:overflowPunct/>
        <w:topLinePunct w:val="0"/>
        <w:autoSpaceDE/>
        <w:autoSpaceDN/>
        <w:bidi w:val="0"/>
        <w:adjustRightInd/>
        <w:snapToGrid/>
        <w:spacing w:line="568"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（四）非行政执法工作日。</w:t>
      </w:r>
      <w:r>
        <w:rPr>
          <w:rFonts w:hint="eastAsia" w:ascii="仿宋_GB2312" w:hAnsi="仿宋_GB2312" w:eastAsia="仿宋_GB2312" w:cs="仿宋_GB2312"/>
          <w:sz w:val="32"/>
          <w:szCs w:val="32"/>
          <w:lang w:val="en-US" w:eastAsia="zh-CN"/>
        </w:rPr>
        <w:t>根据以下6项工作所占用的工作日近3个年平均值测算，共计690天。</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1.机关值班222个工作日；</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2.学习、培训、考核、会议192个工作日；</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3.检查指导下级应急管理工作48个工作日；</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4.参加党群活动48个工作日；</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5.病假、事假40个工作日；</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6.公务员法定年休假、探亲假、婚（丧）假140个工作日。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黑体" w:cs="Times New Roman"/>
          <w:color w:val="auto"/>
          <w:sz w:val="32"/>
          <w:szCs w:val="32"/>
          <w:highlight w:val="none"/>
          <w:lang w:eastAsia="zh-CN"/>
        </w:rPr>
      </w:pPr>
      <w:bookmarkStart w:id="0" w:name="_GoBack"/>
    </w:p>
    <w:p>
      <w:pPr>
        <w:pStyle w:val="3"/>
        <w:keepNext w:val="0"/>
        <w:keepLines w:val="0"/>
        <w:pageBreakBefore w:val="0"/>
        <w:kinsoku/>
        <w:wordWrap/>
        <w:overflowPunct/>
        <w:topLinePunct w:val="0"/>
        <w:autoSpaceDE/>
        <w:autoSpaceDN/>
        <w:bidi w:val="0"/>
        <w:spacing w:after="0" w:line="580" w:lineRule="exact"/>
        <w:ind w:right="0" w:rightChars="0"/>
        <w:textAlignment w:val="auto"/>
        <w:outlineLvl w:val="9"/>
        <w:rPr>
          <w:rFonts w:hint="eastAsia"/>
          <w:color w:val="auto"/>
        </w:rPr>
        <w:sectPr>
          <w:footerReference r:id="rId3" w:type="default"/>
          <w:pgSz w:w="11906" w:h="16838"/>
          <w:pgMar w:top="1701" w:right="1417" w:bottom="1701" w:left="1587" w:header="851" w:footer="992" w:gutter="0"/>
          <w:pgBorders>
            <w:top w:val="none" w:sz="0" w:space="0"/>
            <w:left w:val="none" w:sz="0" w:space="0"/>
            <w:bottom w:val="none" w:sz="0" w:space="0"/>
            <w:right w:val="none" w:sz="0" w:space="0"/>
          </w:pgBorders>
          <w:pgNumType w:fmt="decimal"/>
          <w:cols w:space="720" w:num="1"/>
          <w:rtlGutter w:val="0"/>
          <w:docGrid w:type="lines" w:linePitch="447" w:charSpace="0"/>
        </w:sectPr>
      </w:pPr>
    </w:p>
    <w:bookmarkEnd w:id="0"/>
    <w:p>
      <w:pPr>
        <w:widowControl/>
        <w:shd w:val="clear" w:color="auto" w:fill="FFFFFF"/>
        <w:spacing w:line="580" w:lineRule="exact"/>
        <w:jc w:val="both"/>
        <w:rPr>
          <w:rFonts w:hint="eastAsia" w:ascii="黑体" w:hAnsi="黑体" w:eastAsia="黑体" w:cs="黑体"/>
          <w:b w:val="0"/>
          <w:bCs/>
          <w:spacing w:val="0"/>
          <w:kern w:val="0"/>
          <w:position w:val="0"/>
          <w:sz w:val="32"/>
          <w:szCs w:val="32"/>
          <w:lang w:val="en-US" w:eastAsia="zh-CN"/>
        </w:rPr>
      </w:pPr>
      <w:r>
        <w:rPr>
          <w:rFonts w:hint="eastAsia" w:ascii="黑体" w:hAnsi="黑体" w:eastAsia="黑体" w:cs="黑体"/>
          <w:b w:val="0"/>
          <w:bCs/>
          <w:spacing w:val="0"/>
          <w:kern w:val="0"/>
          <w:position w:val="0"/>
          <w:sz w:val="32"/>
          <w:szCs w:val="32"/>
          <w:lang w:val="en-US" w:eastAsia="zh-CN"/>
        </w:rPr>
        <w:t>附件2</w:t>
      </w:r>
    </w:p>
    <w:p>
      <w:pPr>
        <w:widowControl/>
        <w:shd w:val="clear" w:color="auto" w:fill="FFFFFF"/>
        <w:spacing w:line="580" w:lineRule="exact"/>
        <w:jc w:val="center"/>
        <w:rPr>
          <w:rFonts w:hint="eastAsia" w:ascii="宋体" w:hAnsi="宋体" w:eastAsia="宋体" w:cs="宋体"/>
          <w:b/>
          <w:spacing w:val="0"/>
          <w:kern w:val="0"/>
          <w:position w:val="0"/>
          <w:sz w:val="44"/>
          <w:szCs w:val="44"/>
        </w:rPr>
      </w:pPr>
      <w:r>
        <w:rPr>
          <w:rFonts w:hint="eastAsia" w:ascii="宋体" w:hAnsi="宋体" w:eastAsia="宋体" w:cs="宋体"/>
          <w:b/>
          <w:spacing w:val="0"/>
          <w:kern w:val="0"/>
          <w:position w:val="0"/>
          <w:sz w:val="44"/>
          <w:szCs w:val="44"/>
        </w:rPr>
        <w:t>2025年重点监督检查安排表</w:t>
      </w:r>
    </w:p>
    <w:p>
      <w:pPr>
        <w:pStyle w:val="3"/>
        <w:rPr>
          <w:rFonts w:hint="eastAsia"/>
        </w:rPr>
      </w:pPr>
    </w:p>
    <w:tbl>
      <w:tblPr>
        <w:tblStyle w:val="6"/>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0"/>
        <w:gridCol w:w="735"/>
        <w:gridCol w:w="5250"/>
        <w:gridCol w:w="147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tblHeader/>
          <w:jc w:val="center"/>
        </w:trPr>
        <w:tc>
          <w:tcPr>
            <w:tcW w:w="63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snapToGrid w:val="0"/>
                <w:spacing w:val="0"/>
                <w:kern w:val="0"/>
                <w:position w:val="0"/>
                <w:sz w:val="30"/>
                <w:szCs w:val="30"/>
              </w:rPr>
            </w:pPr>
            <w:r>
              <w:rPr>
                <w:rFonts w:hint="eastAsia" w:ascii="仿宋_GB2312" w:hAnsi="仿宋_GB2312" w:eastAsia="仿宋_GB2312" w:cs="仿宋_GB2312"/>
                <w:b/>
                <w:snapToGrid w:val="0"/>
                <w:spacing w:val="0"/>
                <w:kern w:val="0"/>
                <w:position w:val="0"/>
                <w:sz w:val="30"/>
                <w:szCs w:val="30"/>
                <w:lang w:bidi="ar"/>
              </w:rPr>
              <w:t>序号</w:t>
            </w:r>
          </w:p>
        </w:tc>
        <w:tc>
          <w:tcPr>
            <w:tcW w:w="73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snapToGrid w:val="0"/>
                <w:spacing w:val="0"/>
                <w:kern w:val="0"/>
                <w:position w:val="0"/>
                <w:sz w:val="30"/>
                <w:szCs w:val="30"/>
              </w:rPr>
            </w:pPr>
            <w:r>
              <w:rPr>
                <w:rFonts w:hint="eastAsia" w:ascii="仿宋_GB2312" w:hAnsi="仿宋_GB2312" w:eastAsia="仿宋_GB2312" w:cs="仿宋_GB2312"/>
                <w:b/>
                <w:snapToGrid w:val="0"/>
                <w:spacing w:val="0"/>
                <w:kern w:val="0"/>
                <w:position w:val="0"/>
                <w:sz w:val="30"/>
                <w:szCs w:val="30"/>
                <w:lang w:bidi="ar"/>
              </w:rPr>
              <w:t>检查时间</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snapToGrid w:val="0"/>
                <w:spacing w:val="0"/>
                <w:kern w:val="0"/>
                <w:position w:val="0"/>
                <w:sz w:val="30"/>
                <w:szCs w:val="30"/>
              </w:rPr>
            </w:pPr>
            <w:r>
              <w:rPr>
                <w:rFonts w:hint="eastAsia" w:ascii="仿宋_GB2312" w:hAnsi="仿宋_GB2312" w:eastAsia="仿宋_GB2312" w:cs="仿宋_GB2312"/>
                <w:b/>
                <w:snapToGrid w:val="0"/>
                <w:spacing w:val="0"/>
                <w:kern w:val="0"/>
                <w:position w:val="0"/>
                <w:sz w:val="30"/>
                <w:szCs w:val="30"/>
                <w:lang w:bidi="ar"/>
              </w:rPr>
              <w:t>检查单位</w:t>
            </w:r>
          </w:p>
        </w:tc>
        <w:tc>
          <w:tcPr>
            <w:tcW w:w="147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snapToGrid w:val="0"/>
                <w:spacing w:val="0"/>
                <w:kern w:val="0"/>
                <w:position w:val="0"/>
                <w:sz w:val="30"/>
                <w:szCs w:val="30"/>
              </w:rPr>
            </w:pPr>
            <w:r>
              <w:rPr>
                <w:rFonts w:hint="eastAsia" w:ascii="仿宋_GB2312" w:hAnsi="仿宋_GB2312" w:eastAsia="仿宋_GB2312" w:cs="仿宋_GB2312"/>
                <w:b/>
                <w:snapToGrid w:val="0"/>
                <w:spacing w:val="0"/>
                <w:kern w:val="0"/>
                <w:position w:val="0"/>
                <w:sz w:val="30"/>
                <w:szCs w:val="30"/>
                <w:lang w:bidi="ar"/>
              </w:rPr>
              <w:t>行业领域</w:t>
            </w:r>
          </w:p>
        </w:tc>
        <w:tc>
          <w:tcPr>
            <w:tcW w:w="169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snapToGrid w:val="0"/>
                <w:spacing w:val="0"/>
                <w:kern w:val="0"/>
                <w:position w:val="0"/>
                <w:sz w:val="30"/>
                <w:szCs w:val="30"/>
              </w:rPr>
            </w:pPr>
            <w:r>
              <w:rPr>
                <w:rFonts w:hint="eastAsia" w:ascii="仿宋_GB2312" w:hAnsi="仿宋_GB2312" w:eastAsia="仿宋_GB2312" w:cs="仿宋_GB2312"/>
                <w:b/>
                <w:snapToGrid w:val="0"/>
                <w:spacing w:val="0"/>
                <w:kern w:val="0"/>
                <w:position w:val="0"/>
                <w:sz w:val="30"/>
                <w:szCs w:val="30"/>
                <w:lang w:bidi="ar"/>
              </w:rPr>
              <w:t>执行部门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bidi="ar"/>
              </w:rPr>
              <w:t>1月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武汉东进世美肯科技有限公司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危化</w:t>
            </w:r>
          </w:p>
        </w:tc>
        <w:tc>
          <w:tcPr>
            <w:tcW w:w="1695" w:type="dxa"/>
            <w:vMerge w:val="restart"/>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化工监管科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武汉中彭化学科技有限公司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中韩（武汉）石油化工有限公司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（乙烯厂区）</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武汉有机实业有限公司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武汉光谱同位素科技有限公司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武汉恒基达鑫国际化工仓储有限公司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中石化大庄油库</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武汉平煤武钢联合焦化有限责任公司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武汉钢铁集团气体有限责任公司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武汉石化石油液化气股份有限公司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东风嘉实多油品有限公司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胜华新能源科技（武汉）有限公司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1月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bidi="ar"/>
              </w:rPr>
            </w:pPr>
            <w:r>
              <w:rPr>
                <w:rFonts w:hint="eastAsia" w:ascii="仿宋_GB2312" w:hAnsi="仿宋_GB2312" w:eastAsia="仿宋_GB2312" w:cs="仿宋_GB2312"/>
                <w:snapToGrid w:val="0"/>
                <w:color w:val="000000"/>
                <w:spacing w:val="0"/>
                <w:kern w:val="0"/>
                <w:position w:val="0"/>
                <w:sz w:val="30"/>
                <w:szCs w:val="30"/>
                <w:highlight w:val="none"/>
                <w:lang w:bidi="ar"/>
              </w:rPr>
              <w:t>武汉烽火锐拓科技有限公司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highlight w:val="none"/>
                <w:lang w:bidi="ar"/>
              </w:rPr>
            </w:pPr>
            <w:r>
              <w:rPr>
                <w:rFonts w:hint="eastAsia" w:ascii="仿宋_GB2312" w:hAnsi="仿宋_GB2312" w:eastAsia="仿宋_GB2312" w:cs="仿宋_GB2312"/>
                <w:snapToGrid w:val="0"/>
                <w:spacing w:val="0"/>
                <w:kern w:val="0"/>
                <w:position w:val="0"/>
                <w:sz w:val="30"/>
                <w:szCs w:val="30"/>
                <w:highlight w:val="none"/>
                <w:lang w:val="en-US" w:eastAsia="zh-CN" w:bidi="ar"/>
              </w:rPr>
              <w:t>工贸</w:t>
            </w:r>
          </w:p>
        </w:tc>
        <w:tc>
          <w:tcPr>
            <w:tcW w:w="1695" w:type="dxa"/>
            <w:vMerge w:val="restart"/>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highlight w:val="none"/>
              </w:rPr>
            </w:pPr>
            <w:r>
              <w:rPr>
                <w:rFonts w:hint="eastAsia" w:ascii="仿宋_GB2312" w:hAnsi="仿宋_GB2312" w:eastAsia="仿宋_GB2312" w:cs="仿宋_GB2312"/>
                <w:snapToGrid w:val="0"/>
                <w:spacing w:val="0"/>
                <w:kern w:val="0"/>
                <w:position w:val="0"/>
                <w:sz w:val="30"/>
                <w:szCs w:val="30"/>
                <w:highlight w:val="none"/>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val="en-US" w:eastAsia="zh-CN" w:bidi="ar"/>
              </w:rPr>
            </w:pPr>
            <w:r>
              <w:rPr>
                <w:rFonts w:hint="eastAsia" w:ascii="仿宋_GB2312" w:hAnsi="仿宋_GB2312" w:eastAsia="仿宋_GB2312" w:cs="仿宋_GB2312"/>
                <w:snapToGrid w:val="0"/>
                <w:color w:val="000000"/>
                <w:spacing w:val="0"/>
                <w:kern w:val="0"/>
                <w:position w:val="0"/>
                <w:sz w:val="30"/>
                <w:szCs w:val="30"/>
                <w:highlight w:val="none"/>
                <w:lang w:bidi="ar"/>
              </w:rPr>
              <w:t>锐光信通科技有限公司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highlight w:val="none"/>
                <w:lang w:val="en-US" w:eastAsia="zh-CN"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val="en-US" w:eastAsia="zh-CN" w:bidi="ar"/>
              </w:rPr>
            </w:pPr>
            <w:r>
              <w:rPr>
                <w:rFonts w:hint="eastAsia" w:ascii="仿宋_GB2312" w:hAnsi="仿宋_GB2312" w:eastAsia="仿宋_GB2312" w:cs="仿宋_GB2312"/>
                <w:snapToGrid w:val="0"/>
                <w:color w:val="000000"/>
                <w:spacing w:val="0"/>
                <w:kern w:val="0"/>
                <w:position w:val="0"/>
                <w:sz w:val="30"/>
                <w:szCs w:val="30"/>
                <w:highlight w:val="none"/>
                <w:lang w:bidi="ar"/>
              </w:rPr>
              <w:t>武汉武钢维苏威高级陶瓷有限公司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highlight w:val="none"/>
                <w:lang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bidi="ar"/>
              </w:rPr>
            </w:pPr>
            <w:r>
              <w:rPr>
                <w:rFonts w:hint="eastAsia" w:ascii="仿宋_GB2312" w:hAnsi="仿宋_GB2312" w:eastAsia="仿宋_GB2312" w:cs="仿宋_GB2312"/>
                <w:snapToGrid w:val="0"/>
                <w:color w:val="000000"/>
                <w:spacing w:val="0"/>
                <w:kern w:val="0"/>
                <w:position w:val="0"/>
                <w:sz w:val="30"/>
                <w:szCs w:val="30"/>
                <w:highlight w:val="none"/>
                <w:lang w:bidi="ar"/>
              </w:rPr>
              <w:t>武汉武钢维苏威高级连铸耐火材料</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val="en-US" w:eastAsia="zh-CN" w:bidi="ar"/>
              </w:rPr>
            </w:pPr>
            <w:r>
              <w:rPr>
                <w:rFonts w:hint="eastAsia" w:ascii="仿宋_GB2312" w:hAnsi="仿宋_GB2312" w:eastAsia="仿宋_GB2312" w:cs="仿宋_GB2312"/>
                <w:snapToGrid w:val="0"/>
                <w:color w:val="000000"/>
                <w:spacing w:val="0"/>
                <w:kern w:val="0"/>
                <w:position w:val="0"/>
                <w:sz w:val="30"/>
                <w:szCs w:val="30"/>
                <w:highlight w:val="none"/>
                <w:lang w:bidi="ar"/>
              </w:rPr>
              <w:t>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highlight w:val="none"/>
                <w:lang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2月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武汉宝聚炭材料有限公司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危化</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化工监管科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武汉博达鸿泰环保科技有限公司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广钢气体（武汉）有限公司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5"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bidi="ar"/>
              </w:rPr>
            </w:pPr>
            <w:r>
              <w:rPr>
                <w:rFonts w:hint="eastAsia" w:ascii="仿宋_GB2312" w:hAnsi="仿宋_GB2312" w:eastAsia="仿宋_GB2312" w:cs="仿宋_GB2312"/>
                <w:snapToGrid w:val="0"/>
                <w:color w:val="000000"/>
                <w:spacing w:val="0"/>
                <w:kern w:val="0"/>
                <w:position w:val="0"/>
                <w:sz w:val="30"/>
                <w:szCs w:val="30"/>
                <w:highlight w:val="none"/>
                <w:lang w:bidi="ar"/>
              </w:rPr>
              <w:t>中国石化销售股份有限公司湖北武汉群力加油站</w:t>
            </w:r>
          </w:p>
        </w:tc>
        <w:tc>
          <w:tcPr>
            <w:tcW w:w="147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highlight w:val="none"/>
                <w:lang w:bidi="ar"/>
              </w:rPr>
            </w:pPr>
            <w:r>
              <w:rPr>
                <w:rFonts w:hint="eastAsia" w:ascii="仿宋_GB2312" w:hAnsi="仿宋_GB2312" w:eastAsia="仿宋_GB2312" w:cs="仿宋_GB2312"/>
                <w:snapToGrid w:val="0"/>
                <w:spacing w:val="0"/>
                <w:kern w:val="0"/>
                <w:position w:val="0"/>
                <w:sz w:val="30"/>
                <w:szCs w:val="30"/>
                <w:highlight w:val="none"/>
                <w:lang w:val="en-US" w:eastAsia="zh-CN" w:bidi="ar"/>
              </w:rPr>
              <w:t>加油站</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highlight w:val="none"/>
                <w:lang w:val="en-US" w:eastAsia="zh-CN" w:bidi="ar-SA"/>
              </w:rPr>
            </w:pPr>
            <w:r>
              <w:rPr>
                <w:rFonts w:hint="eastAsia" w:ascii="仿宋_GB2312" w:hAnsi="仿宋_GB2312" w:eastAsia="仿宋_GB2312" w:cs="仿宋_GB2312"/>
                <w:snapToGrid w:val="0"/>
                <w:spacing w:val="0"/>
                <w:kern w:val="0"/>
                <w:position w:val="0"/>
                <w:sz w:val="30"/>
                <w:szCs w:val="30"/>
                <w:highlight w:val="none"/>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bidi="ar"/>
              </w:rPr>
            </w:pPr>
            <w:r>
              <w:rPr>
                <w:rFonts w:hint="eastAsia" w:ascii="仿宋_GB2312" w:hAnsi="仿宋_GB2312" w:eastAsia="仿宋_GB2312" w:cs="仿宋_GB2312"/>
                <w:snapToGrid w:val="0"/>
                <w:color w:val="000000"/>
                <w:spacing w:val="0"/>
                <w:kern w:val="0"/>
                <w:position w:val="0"/>
                <w:sz w:val="30"/>
                <w:szCs w:val="30"/>
                <w:highlight w:val="none"/>
                <w:lang w:bidi="ar"/>
              </w:rPr>
              <w:t>中国石油天然气股份有限公司湖北武汉销售分公司群力加油站</w:t>
            </w:r>
          </w:p>
        </w:tc>
        <w:tc>
          <w:tcPr>
            <w:tcW w:w="147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highlight w:val="none"/>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bidi="ar"/>
              </w:rPr>
            </w:pPr>
            <w:r>
              <w:rPr>
                <w:rFonts w:hint="eastAsia" w:ascii="仿宋_GB2312" w:hAnsi="仿宋_GB2312" w:eastAsia="仿宋_GB2312" w:cs="仿宋_GB2312"/>
                <w:snapToGrid w:val="0"/>
                <w:color w:val="000000"/>
                <w:spacing w:val="0"/>
                <w:kern w:val="0"/>
                <w:position w:val="0"/>
                <w:sz w:val="30"/>
                <w:szCs w:val="30"/>
                <w:highlight w:val="none"/>
                <w:lang w:bidi="ar"/>
              </w:rPr>
              <w:t>中国石化销售股份有限公司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bidi="ar"/>
              </w:rPr>
            </w:pPr>
            <w:r>
              <w:rPr>
                <w:rFonts w:hint="eastAsia" w:ascii="仿宋_GB2312" w:hAnsi="仿宋_GB2312" w:eastAsia="仿宋_GB2312" w:cs="仿宋_GB2312"/>
                <w:snapToGrid w:val="0"/>
                <w:color w:val="000000"/>
                <w:spacing w:val="0"/>
                <w:kern w:val="0"/>
                <w:position w:val="0"/>
                <w:sz w:val="30"/>
                <w:szCs w:val="30"/>
                <w:highlight w:val="none"/>
                <w:lang w:bidi="ar"/>
              </w:rPr>
              <w:t>湖北武汉兴发加油站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highlight w:val="none"/>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bidi="ar"/>
              </w:rPr>
            </w:pPr>
            <w:r>
              <w:rPr>
                <w:rFonts w:hint="eastAsia" w:ascii="仿宋_GB2312" w:hAnsi="仿宋_GB2312" w:eastAsia="仿宋_GB2312" w:cs="仿宋_GB2312"/>
                <w:snapToGrid w:val="0"/>
                <w:color w:val="000000"/>
                <w:spacing w:val="0"/>
                <w:kern w:val="0"/>
                <w:position w:val="0"/>
                <w:sz w:val="30"/>
                <w:szCs w:val="30"/>
                <w:highlight w:val="none"/>
                <w:lang w:bidi="ar"/>
              </w:rPr>
              <w:t>武汉石化交通运输有限公司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bidi="ar"/>
              </w:rPr>
            </w:pPr>
            <w:r>
              <w:rPr>
                <w:rFonts w:hint="eastAsia" w:ascii="仿宋_GB2312" w:hAnsi="仿宋_GB2312" w:eastAsia="仿宋_GB2312" w:cs="仿宋_GB2312"/>
                <w:snapToGrid w:val="0"/>
                <w:color w:val="000000"/>
                <w:spacing w:val="0"/>
                <w:kern w:val="0"/>
                <w:position w:val="0"/>
                <w:sz w:val="30"/>
                <w:szCs w:val="30"/>
                <w:highlight w:val="none"/>
                <w:lang w:bidi="ar"/>
              </w:rPr>
              <w:t>凤凰山加油站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highlight w:val="none"/>
                <w:lang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bidi="ar"/>
              </w:rPr>
            </w:pPr>
            <w:r>
              <w:rPr>
                <w:rFonts w:hint="eastAsia" w:ascii="仿宋_GB2312" w:hAnsi="仿宋_GB2312" w:eastAsia="仿宋_GB2312" w:cs="仿宋_GB2312"/>
                <w:snapToGrid w:val="0"/>
                <w:color w:val="000000"/>
                <w:spacing w:val="0"/>
                <w:kern w:val="0"/>
                <w:position w:val="0"/>
                <w:sz w:val="30"/>
                <w:szCs w:val="30"/>
                <w:highlight w:val="none"/>
                <w:lang w:bidi="ar"/>
              </w:rPr>
              <w:t>中国石油天然气股份有限公司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bidi="ar"/>
              </w:rPr>
            </w:pPr>
            <w:r>
              <w:rPr>
                <w:rFonts w:hint="eastAsia" w:ascii="仿宋_GB2312" w:hAnsi="仿宋_GB2312" w:eastAsia="仿宋_GB2312" w:cs="仿宋_GB2312"/>
                <w:snapToGrid w:val="0"/>
                <w:color w:val="000000"/>
                <w:spacing w:val="0"/>
                <w:kern w:val="0"/>
                <w:position w:val="0"/>
                <w:sz w:val="30"/>
                <w:szCs w:val="30"/>
                <w:highlight w:val="none"/>
                <w:lang w:bidi="ar"/>
              </w:rPr>
              <w:t>湖北武汉销售分公司火官庙加油站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highlight w:val="none"/>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bidi="ar"/>
              </w:rPr>
            </w:pPr>
            <w:r>
              <w:rPr>
                <w:rFonts w:hint="eastAsia" w:ascii="仿宋_GB2312" w:hAnsi="仿宋_GB2312" w:eastAsia="仿宋_GB2312" w:cs="仿宋_GB2312"/>
                <w:snapToGrid w:val="0"/>
                <w:color w:val="000000"/>
                <w:spacing w:val="0"/>
                <w:kern w:val="0"/>
                <w:position w:val="0"/>
                <w:sz w:val="30"/>
                <w:szCs w:val="30"/>
                <w:highlight w:val="none"/>
                <w:lang w:bidi="ar"/>
              </w:rPr>
              <w:t>中国石化销售股份有限公司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bidi="ar"/>
              </w:rPr>
            </w:pPr>
            <w:r>
              <w:rPr>
                <w:rFonts w:hint="eastAsia" w:ascii="仿宋_GB2312" w:hAnsi="仿宋_GB2312" w:eastAsia="仿宋_GB2312" w:cs="仿宋_GB2312"/>
                <w:snapToGrid w:val="0"/>
                <w:color w:val="000000"/>
                <w:spacing w:val="0"/>
                <w:kern w:val="0"/>
                <w:position w:val="0"/>
                <w:sz w:val="30"/>
                <w:szCs w:val="30"/>
                <w:highlight w:val="none"/>
                <w:lang w:bidi="ar"/>
              </w:rPr>
              <w:t>湖北武汉红钢城加油站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highlight w:val="none"/>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val="en-US" w:eastAsia="zh-CN" w:bidi="ar"/>
              </w:rPr>
            </w:pPr>
            <w:r>
              <w:rPr>
                <w:rFonts w:hint="eastAsia" w:ascii="仿宋_GB2312" w:hAnsi="仿宋_GB2312" w:eastAsia="仿宋_GB2312" w:cs="仿宋_GB2312"/>
                <w:snapToGrid w:val="0"/>
                <w:color w:val="000000"/>
                <w:spacing w:val="0"/>
                <w:kern w:val="0"/>
                <w:position w:val="0"/>
                <w:sz w:val="30"/>
                <w:szCs w:val="30"/>
                <w:highlight w:val="none"/>
                <w:lang w:bidi="ar"/>
              </w:rPr>
              <w:t>武汉博达鸿盛塑料有限公司</w:t>
            </w:r>
          </w:p>
        </w:tc>
        <w:tc>
          <w:tcPr>
            <w:tcW w:w="147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highlight w:val="none"/>
                <w:lang w:val="en-US" w:eastAsia="zh-CN" w:bidi="ar"/>
              </w:rPr>
            </w:pPr>
            <w:r>
              <w:rPr>
                <w:rFonts w:hint="eastAsia" w:ascii="仿宋_GB2312" w:hAnsi="仿宋_GB2312" w:eastAsia="仿宋_GB2312" w:cs="仿宋_GB2312"/>
                <w:snapToGrid w:val="0"/>
                <w:spacing w:val="0"/>
                <w:kern w:val="0"/>
                <w:position w:val="0"/>
                <w:sz w:val="30"/>
                <w:szCs w:val="30"/>
                <w:highlight w:val="none"/>
                <w:lang w:val="en-US" w:eastAsia="zh-CN" w:bidi="ar"/>
              </w:rPr>
              <w:t>工贸</w:t>
            </w:r>
          </w:p>
        </w:tc>
        <w:tc>
          <w:tcPr>
            <w:tcW w:w="1695" w:type="dxa"/>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highlight w:val="none"/>
                <w:lang w:val="en-US" w:eastAsia="zh-CN" w:bidi="ar-SA"/>
              </w:rPr>
            </w:pPr>
            <w:r>
              <w:rPr>
                <w:rFonts w:hint="eastAsia" w:ascii="仿宋_GB2312" w:hAnsi="仿宋_GB2312" w:eastAsia="仿宋_GB2312" w:cs="仿宋_GB2312"/>
                <w:snapToGrid w:val="0"/>
                <w:spacing w:val="0"/>
                <w:kern w:val="0"/>
                <w:position w:val="0"/>
                <w:sz w:val="30"/>
                <w:szCs w:val="30"/>
                <w:highlight w:val="none"/>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2月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bidi="ar"/>
              </w:rPr>
            </w:pPr>
            <w:r>
              <w:rPr>
                <w:rFonts w:hint="eastAsia" w:ascii="仿宋_GB2312" w:hAnsi="仿宋_GB2312" w:eastAsia="仿宋_GB2312" w:cs="仿宋_GB2312"/>
                <w:snapToGrid w:val="0"/>
                <w:color w:val="000000"/>
                <w:spacing w:val="0"/>
                <w:kern w:val="0"/>
                <w:position w:val="0"/>
                <w:sz w:val="30"/>
                <w:szCs w:val="30"/>
                <w:highlight w:val="none"/>
                <w:lang w:bidi="ar"/>
              </w:rPr>
              <w:t>武汉市泮水碳素制品有限公司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highlight w:val="none"/>
                <w:lang w:val="en-US" w:eastAsia="zh-CN" w:bidi="ar"/>
              </w:rPr>
            </w:pPr>
            <w:r>
              <w:rPr>
                <w:rFonts w:hint="eastAsia" w:ascii="仿宋_GB2312" w:hAnsi="仿宋_GB2312" w:eastAsia="仿宋_GB2312" w:cs="仿宋_GB2312"/>
                <w:snapToGrid w:val="0"/>
                <w:spacing w:val="0"/>
                <w:kern w:val="0"/>
                <w:position w:val="0"/>
                <w:sz w:val="30"/>
                <w:szCs w:val="30"/>
                <w:highlight w:val="none"/>
                <w:lang w:val="en-US" w:eastAsia="zh-CN" w:bidi="ar"/>
              </w:rPr>
              <w:t>工贸</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highlight w:val="none"/>
                <w:lang w:val="en-US" w:eastAsia="zh-CN" w:bidi="ar-SA"/>
              </w:rPr>
            </w:pPr>
            <w:r>
              <w:rPr>
                <w:rFonts w:hint="eastAsia" w:ascii="仿宋_GB2312" w:hAnsi="仿宋_GB2312" w:eastAsia="仿宋_GB2312" w:cs="仿宋_GB2312"/>
                <w:snapToGrid w:val="0"/>
                <w:spacing w:val="0"/>
                <w:kern w:val="0"/>
                <w:position w:val="0"/>
                <w:sz w:val="30"/>
                <w:szCs w:val="30"/>
                <w:highlight w:val="none"/>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bidi="ar"/>
              </w:rPr>
            </w:pPr>
            <w:r>
              <w:rPr>
                <w:rFonts w:hint="eastAsia" w:ascii="仿宋_GB2312" w:hAnsi="仿宋_GB2312" w:eastAsia="仿宋_GB2312" w:cs="仿宋_GB2312"/>
                <w:snapToGrid w:val="0"/>
                <w:color w:val="000000"/>
                <w:spacing w:val="0"/>
                <w:kern w:val="0"/>
                <w:position w:val="0"/>
                <w:sz w:val="30"/>
                <w:szCs w:val="30"/>
                <w:highlight w:val="none"/>
                <w:lang w:bidi="ar"/>
              </w:rPr>
              <w:t>武汉铁锚焊接材料股份有限公司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highlight w:val="none"/>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highlight w:val="none"/>
                <w:lang w:bidi="ar"/>
              </w:rPr>
            </w:pPr>
            <w:r>
              <w:rPr>
                <w:rFonts w:hint="eastAsia" w:ascii="仿宋_GB2312" w:hAnsi="仿宋_GB2312" w:eastAsia="仿宋_GB2312" w:cs="仿宋_GB2312"/>
                <w:snapToGrid w:val="0"/>
                <w:color w:val="000000"/>
                <w:spacing w:val="0"/>
                <w:kern w:val="0"/>
                <w:position w:val="0"/>
                <w:sz w:val="30"/>
                <w:szCs w:val="30"/>
                <w:highlight w:val="none"/>
                <w:lang w:bidi="ar"/>
              </w:rPr>
              <w:t>武汉青隆鑫盛工贸有限公司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highlight w:val="none"/>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3月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武汉润桦辉氧气气瓶检验有限责任公司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危化</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化工监管科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武汉青盛气体有限公司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武汉中科金属科技有限公司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武汉澳华海油站管理服务有限公司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冶金大道交通服务站</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加油站</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华中油气湖北石油有限公司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中化青山加油站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中国石化销售股份有限公司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湖北武汉白玉山加油站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武汉中法水务有限公司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工贸</w:t>
            </w:r>
          </w:p>
        </w:tc>
        <w:tc>
          <w:tcPr>
            <w:tcW w:w="1695" w:type="dxa"/>
            <w:vMerge w:val="restart"/>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武钢日铁</w:t>
            </w:r>
            <w:r>
              <w:rPr>
                <w:rFonts w:hint="eastAsia" w:ascii="仿宋_GB2312" w:hAnsi="仿宋_GB2312" w:eastAsia="仿宋_GB2312" w:cs="仿宋_GB2312"/>
                <w:snapToGrid w:val="0"/>
                <w:color w:val="000000"/>
                <w:spacing w:val="0"/>
                <w:kern w:val="0"/>
                <w:position w:val="0"/>
                <w:sz w:val="30"/>
                <w:szCs w:val="30"/>
                <w:lang w:eastAsia="zh-CN" w:bidi="ar"/>
              </w:rPr>
              <w:t>（</w:t>
            </w:r>
            <w:r>
              <w:rPr>
                <w:rFonts w:hint="eastAsia" w:ascii="仿宋_GB2312" w:hAnsi="仿宋_GB2312" w:eastAsia="仿宋_GB2312" w:cs="仿宋_GB2312"/>
                <w:snapToGrid w:val="0"/>
                <w:color w:val="000000"/>
                <w:spacing w:val="0"/>
                <w:kern w:val="0"/>
                <w:position w:val="0"/>
                <w:sz w:val="30"/>
                <w:szCs w:val="30"/>
                <w:lang w:bidi="ar"/>
              </w:rPr>
              <w:t>武汉</w:t>
            </w:r>
            <w:r>
              <w:rPr>
                <w:rFonts w:hint="eastAsia" w:ascii="仿宋_GB2312" w:hAnsi="仿宋_GB2312" w:eastAsia="仿宋_GB2312" w:cs="仿宋_GB2312"/>
                <w:snapToGrid w:val="0"/>
                <w:color w:val="000000"/>
                <w:spacing w:val="0"/>
                <w:kern w:val="0"/>
                <w:position w:val="0"/>
                <w:sz w:val="30"/>
                <w:szCs w:val="30"/>
                <w:lang w:eastAsia="zh-CN" w:bidi="ar"/>
              </w:rPr>
              <w:t>）</w:t>
            </w:r>
            <w:r>
              <w:rPr>
                <w:rFonts w:hint="eastAsia" w:ascii="仿宋_GB2312" w:hAnsi="仿宋_GB2312" w:eastAsia="仿宋_GB2312" w:cs="仿宋_GB2312"/>
                <w:snapToGrid w:val="0"/>
                <w:color w:val="000000"/>
                <w:spacing w:val="0"/>
                <w:kern w:val="0"/>
                <w:position w:val="0"/>
                <w:sz w:val="30"/>
                <w:szCs w:val="30"/>
                <w:lang w:bidi="ar"/>
              </w:rPr>
              <w:t>镀锡板有限公司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武汉新康化工设备有限公司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4月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武汉奥克化学有限公司</w:t>
            </w:r>
          </w:p>
        </w:tc>
        <w:tc>
          <w:tcPr>
            <w:tcW w:w="147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危化</w:t>
            </w:r>
          </w:p>
        </w:tc>
        <w:tc>
          <w:tcPr>
            <w:tcW w:w="1695" w:type="dxa"/>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r>
              <w:rPr>
                <w:rFonts w:hint="eastAsia" w:ascii="仿宋_GB2312" w:hAnsi="仿宋_GB2312" w:eastAsia="仿宋_GB2312" w:cs="仿宋_GB2312"/>
                <w:snapToGrid w:val="0"/>
                <w:spacing w:val="0"/>
                <w:kern w:val="0"/>
                <w:position w:val="0"/>
                <w:sz w:val="30"/>
                <w:szCs w:val="30"/>
                <w:lang w:val="en-US" w:eastAsia="zh-CN"/>
              </w:rPr>
              <w:t>化工监管科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中国石油天然气股份有限公司湖北武汉销售分公司交通运输二公司加油站</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加油站</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4月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中国石油天然气股份有限公司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湖北武汉销售分公司楠姆加油站</w:t>
            </w:r>
          </w:p>
        </w:tc>
        <w:tc>
          <w:tcPr>
            <w:tcW w:w="147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加油站</w:t>
            </w:r>
          </w:p>
        </w:tc>
        <w:tc>
          <w:tcPr>
            <w:tcW w:w="1695" w:type="dxa"/>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武汉春笋新型墙体材料有限公司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工贸</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湖北钢世源钢材配送加工有限公司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武汉武钢北湖德诚设备有限公司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武汉扬光实业有限公司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武汉武新新型建材股份有限公司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5月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武汉恒基达鑫国际化工仓储有限公司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危化</w:t>
            </w:r>
          </w:p>
        </w:tc>
        <w:tc>
          <w:tcPr>
            <w:tcW w:w="1695" w:type="dxa"/>
            <w:vMerge w:val="restart"/>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化工监管科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中韩（武汉）石油化工有限公司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（炼油厂区）</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武汉鲁华泓锦新材料有限公司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武汉宝聚炭材料有限公司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武汉东进世美肯科技有限公司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武汉奥克化学有限公司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武汉润桦辉氧气气瓶检验有限责任公司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武汉青盛气体有限公司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5月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武汉中科金属科技有限公司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危化</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化工监管科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湖北晟特新材料有限公司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武汉三源特种建材有限责任公司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中国石油天然气股份有限公司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湖北武汉销售分公司工人村加油站</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加油站</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中国石化销售股份有限公司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湖北武汉青山加油站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中国石油天然气股份有限公司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湖北武汉销售分公司钢城加油站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武汉化工新城公共管廊有限公司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工贸</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武汉冠兴隆市政工程有限公司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武汉川云工贸有限公司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武汉川崎船用机械有限公司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武汉钢铁集团轧辊有限责任公司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6月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武汉光谱同位素科技有限公司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危化</w:t>
            </w:r>
          </w:p>
        </w:tc>
        <w:tc>
          <w:tcPr>
            <w:tcW w:w="1695" w:type="dxa"/>
            <w:vMerge w:val="restart"/>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r>
              <w:rPr>
                <w:rFonts w:hint="eastAsia" w:ascii="仿宋_GB2312" w:hAnsi="仿宋_GB2312" w:eastAsia="仿宋_GB2312" w:cs="仿宋_GB2312"/>
                <w:snapToGrid w:val="0"/>
                <w:spacing w:val="0"/>
                <w:kern w:val="0"/>
                <w:position w:val="0"/>
                <w:sz w:val="30"/>
                <w:szCs w:val="30"/>
                <w:lang w:val="en-US" w:eastAsia="zh-CN"/>
              </w:rPr>
              <w:t>化工监管科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武汉恒阳化工储运有限公司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中国石油天然气股份有限公司湖北武汉销售分公司三昌工业港加油站</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加油站</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6月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中国石化销售股份有限公司湖北武汉</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焦沙加油综合服务站</w:t>
            </w:r>
          </w:p>
        </w:tc>
        <w:tc>
          <w:tcPr>
            <w:tcW w:w="147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加油站</w:t>
            </w:r>
          </w:p>
        </w:tc>
        <w:tc>
          <w:tcPr>
            <w:tcW w:w="1695" w:type="dxa"/>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武汉博旺兴源环保科技股份有限公司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工贸</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武汉长航绿色航运环保发展有限公司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宝武水务科技有限公司武汉分公司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武汉兴达钢铁经济发展有限公司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tabs>
                <w:tab w:val="left" w:pos="481"/>
              </w:tabs>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7月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中韩（武汉）石油化工有限公司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（炼油厂区）</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危化</w:t>
            </w:r>
          </w:p>
        </w:tc>
        <w:tc>
          <w:tcPr>
            <w:tcW w:w="1695" w:type="dxa"/>
            <w:vMerge w:val="restart"/>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化工监管科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武汉有机实业有限公司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武汉鲁华泓锦新材料有限公司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武汉联德化学品有限公司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武汉双虎涂料股份有限公司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武汉奥克特种化学有限公司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中国石化销售股份有限公司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湖北武汉群力加油站</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加油站</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中国石油天然气股份有限公司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湖北武汉销售分公司群力加油站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p>
        </w:tc>
        <w:tc>
          <w:tcPr>
            <w:tcW w:w="5250" w:type="dxa"/>
            <w:noWrap w:val="0"/>
            <w:vAlign w:val="center"/>
          </w:tcPr>
          <w:p>
            <w:pPr>
              <w:keepNext w:val="0"/>
              <w:keepLines w:val="0"/>
              <w:pageBreakBefore w:val="0"/>
              <w:widowControl/>
              <w:tabs>
                <w:tab w:val="left" w:pos="5463"/>
              </w:tabs>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eastAsia="zh-CN" w:bidi="ar"/>
              </w:rPr>
              <w:t>武汉市高磁丹斯克科技有限公司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工贸</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7月</w:t>
            </w:r>
          </w:p>
        </w:tc>
        <w:tc>
          <w:tcPr>
            <w:tcW w:w="5250" w:type="dxa"/>
            <w:noWrap w:val="0"/>
            <w:vAlign w:val="center"/>
          </w:tcPr>
          <w:p>
            <w:pPr>
              <w:keepNext w:val="0"/>
              <w:keepLines w:val="0"/>
              <w:pageBreakBefore w:val="0"/>
              <w:widowControl/>
              <w:tabs>
                <w:tab w:val="left" w:pos="5463"/>
              </w:tabs>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eastAsia="zh-CN" w:bidi="ar"/>
              </w:rPr>
              <w:t>武汉市泮水碳素制品有限公司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工贸</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tabs>
                <w:tab w:val="left" w:pos="5463"/>
              </w:tabs>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eastAsia="zh-CN" w:bidi="ar"/>
              </w:rPr>
              <w:t>武汉武钢维苏威高级陶瓷有限公司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eastAsia="zh-CN" w:bidi="ar"/>
              </w:rPr>
              <w:t>武汉武钢维苏威高级连铸耐火材料</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eastAsia="zh-CN" w:bidi="ar"/>
              </w:rPr>
              <w:t>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8月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中韩（武汉）石油化工有限公司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（乙烯厂区）</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危化</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化工监管科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武汉钢铁石化工业气体有限责任公司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中国石化销售股份有限公司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湖北武汉兴发加油站</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加油站</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武汉石化交通运输有限公司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凤凰山加油站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中国石油天然气股份有限公司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湖北武汉销售分公司火官庙加油站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中国石化销售股份有限公司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湖北武汉红钢城加油站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武汉博达鸿盛塑料有限公司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工贸</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武汉烽火锐拓科技有限公司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锐光信通科技有限公司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武汉青隆鑫盛工贸有限公司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武汉中法水务有限公司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9月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武汉平煤武钢联合焦化有限责任公司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危化</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r>
              <w:rPr>
                <w:rFonts w:hint="eastAsia" w:ascii="仿宋_GB2312" w:hAnsi="仿宋_GB2312" w:eastAsia="仿宋_GB2312" w:cs="仿宋_GB2312"/>
                <w:snapToGrid w:val="0"/>
                <w:spacing w:val="0"/>
                <w:kern w:val="0"/>
                <w:position w:val="0"/>
                <w:sz w:val="30"/>
                <w:szCs w:val="30"/>
                <w:lang w:val="en-US" w:eastAsia="zh-CN"/>
              </w:rPr>
              <w:t>化工监管科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武汉钢铁集团气体有限责任公司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武汉石化石油液化气股份有限公司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武汉澳华海油站管理服务有限公司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冶金大道交通服务站</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加油站</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华中油气湖北石油有限公司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中化青山加油站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中国石化销售股份有限公司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湖北武汉白玉山加油站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武汉铁锚焊接材料股份有限公司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工贸</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武钢日铁</w:t>
            </w:r>
            <w:r>
              <w:rPr>
                <w:rFonts w:hint="eastAsia" w:ascii="仿宋_GB2312" w:hAnsi="仿宋_GB2312" w:eastAsia="仿宋_GB2312" w:cs="仿宋_GB2312"/>
                <w:snapToGrid w:val="0"/>
                <w:color w:val="000000"/>
                <w:spacing w:val="0"/>
                <w:kern w:val="0"/>
                <w:position w:val="0"/>
                <w:sz w:val="30"/>
                <w:szCs w:val="30"/>
                <w:lang w:eastAsia="zh-CN" w:bidi="ar"/>
              </w:rPr>
              <w:t>（</w:t>
            </w:r>
            <w:r>
              <w:rPr>
                <w:rFonts w:hint="eastAsia" w:ascii="仿宋_GB2312" w:hAnsi="仿宋_GB2312" w:eastAsia="仿宋_GB2312" w:cs="仿宋_GB2312"/>
                <w:snapToGrid w:val="0"/>
                <w:color w:val="000000"/>
                <w:spacing w:val="0"/>
                <w:kern w:val="0"/>
                <w:position w:val="0"/>
                <w:sz w:val="30"/>
                <w:szCs w:val="30"/>
                <w:lang w:bidi="ar"/>
              </w:rPr>
              <w:t>武汉</w:t>
            </w:r>
            <w:r>
              <w:rPr>
                <w:rFonts w:hint="eastAsia" w:ascii="仿宋_GB2312" w:hAnsi="仿宋_GB2312" w:eastAsia="仿宋_GB2312" w:cs="仿宋_GB2312"/>
                <w:snapToGrid w:val="0"/>
                <w:color w:val="000000"/>
                <w:spacing w:val="0"/>
                <w:kern w:val="0"/>
                <w:position w:val="0"/>
                <w:sz w:val="30"/>
                <w:szCs w:val="30"/>
                <w:lang w:eastAsia="zh-CN" w:bidi="ar"/>
              </w:rPr>
              <w:t>）</w:t>
            </w:r>
            <w:r>
              <w:rPr>
                <w:rFonts w:hint="eastAsia" w:ascii="仿宋_GB2312" w:hAnsi="仿宋_GB2312" w:eastAsia="仿宋_GB2312" w:cs="仿宋_GB2312"/>
                <w:snapToGrid w:val="0"/>
                <w:color w:val="000000"/>
                <w:spacing w:val="0"/>
                <w:kern w:val="0"/>
                <w:position w:val="0"/>
                <w:sz w:val="30"/>
                <w:szCs w:val="30"/>
                <w:lang w:bidi="ar"/>
              </w:rPr>
              <w:t>镀锡板有限公司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武汉新康化工设备有限公司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武汉春笋新型墙体材料有限公司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湖北钢世源钢材配送加工有限公司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10月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胜华新能源科技（武汉）有限公司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危化</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r>
              <w:rPr>
                <w:rFonts w:hint="eastAsia" w:ascii="仿宋_GB2312" w:hAnsi="仿宋_GB2312" w:eastAsia="仿宋_GB2312" w:cs="仿宋_GB2312"/>
                <w:snapToGrid w:val="0"/>
                <w:spacing w:val="0"/>
                <w:kern w:val="0"/>
                <w:position w:val="0"/>
                <w:sz w:val="30"/>
                <w:szCs w:val="30"/>
                <w:lang w:val="en-US" w:eastAsia="zh-CN"/>
              </w:rPr>
              <w:t>化工监管科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武汉联德化学品有限公司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武汉钢铁石化工业气体有限责任公司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10月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武汉双虎涂料股份有限公司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危化</w:t>
            </w:r>
          </w:p>
        </w:tc>
        <w:tc>
          <w:tcPr>
            <w:tcW w:w="1695" w:type="dxa"/>
            <w:vMerge w:val="restart"/>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r>
              <w:rPr>
                <w:rFonts w:hint="eastAsia" w:ascii="仿宋_GB2312" w:hAnsi="仿宋_GB2312" w:eastAsia="仿宋_GB2312" w:cs="仿宋_GB2312"/>
                <w:snapToGrid w:val="0"/>
                <w:spacing w:val="0"/>
                <w:kern w:val="0"/>
                <w:position w:val="0"/>
                <w:sz w:val="30"/>
                <w:szCs w:val="30"/>
                <w:lang w:val="en-US" w:eastAsia="zh-CN"/>
              </w:rPr>
              <w:t>化工监管科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武汉博达鸿泰环保科技有限公司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广钢气体（武汉）有限公司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武汉奥克特种化学有限公司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武汉中彭化学科技有限公司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武汉恒阳化工储运有限公司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武汉伊士曼有机化工有限公司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中国石油天然气股份有限公司湖北武汉销售分公司交通运输二公司加油站</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加油站</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中国石油天然气股份有限公司湖北武汉销售分公司楠姆加油站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中国石油天然气股份有限公司湖北武汉销售分公司钢城加油站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武汉武钢北湖德诚设备有限公司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工贸</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武汉扬光实业有限公司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武汉武新新型建材股份有限公司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武汉化工新城公共管廊有限公司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10月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武汉冠兴隆市政工程有限公司</w:t>
            </w:r>
          </w:p>
        </w:tc>
        <w:tc>
          <w:tcPr>
            <w:tcW w:w="147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工贸</w:t>
            </w:r>
          </w:p>
        </w:tc>
        <w:tc>
          <w:tcPr>
            <w:tcW w:w="1695" w:type="dxa"/>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11月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武汉伊士曼有机化工有限公司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危化</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化工监管科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东风嘉实多油品有限公司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中国石油天然气股份有限公司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湖北武汉销售分公司工人村加油站</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加油站</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中国石化销售股份有限公司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湖北武汉青山加油站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武汉博旺兴源环保科技股份有限公司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工贸</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武汉川云工贸有限公司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武汉川崎船用机械有限公司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武汉钢铁集团轧辊有限责任公司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12月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中石化大庄油库</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危化</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r>
              <w:rPr>
                <w:rFonts w:hint="eastAsia" w:ascii="仿宋_GB2312" w:hAnsi="仿宋_GB2312" w:eastAsia="仿宋_GB2312" w:cs="仿宋_GB2312"/>
                <w:snapToGrid w:val="0"/>
                <w:spacing w:val="0"/>
                <w:kern w:val="0"/>
                <w:position w:val="0"/>
                <w:sz w:val="30"/>
                <w:szCs w:val="30"/>
                <w:lang w:val="en-US" w:eastAsia="zh-CN"/>
              </w:rPr>
              <w:t>化工监管科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bidi="ar"/>
              </w:rPr>
              <w:t>湖北晟特新材料有限公司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武汉三源特种建材有限责任公司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中国石油天然气股份有限公司湖北武汉销售分公司三昌工业港加油站</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加油站</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中国石化销售股份有限公司</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湖北武汉焦沙加油综合服务站</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12月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武汉长航绿色航运环保发展有限公司</w:t>
            </w: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工贸</w:t>
            </w:r>
          </w:p>
        </w:tc>
        <w:tc>
          <w:tcPr>
            <w:tcW w:w="1695" w:type="dxa"/>
            <w:vMerge w:val="restart"/>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宝武水务科技有限公司武汉分公司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武汉兴达钢铁经济发展有限公司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bidi="ar"/>
              </w:rPr>
            </w:pPr>
            <w:r>
              <w:rPr>
                <w:rFonts w:hint="eastAsia" w:ascii="仿宋_GB2312" w:hAnsi="仿宋_GB2312" w:eastAsia="仿宋_GB2312" w:cs="仿宋_GB2312"/>
                <w:snapToGrid w:val="0"/>
                <w:color w:val="000000"/>
                <w:spacing w:val="0"/>
                <w:kern w:val="0"/>
                <w:position w:val="0"/>
                <w:sz w:val="30"/>
                <w:szCs w:val="30"/>
                <w:lang w:bidi="ar"/>
              </w:rPr>
              <w:t>武汉市高磁丹斯克科技有限公司</w:t>
            </w: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p>
        </w:tc>
        <w:tc>
          <w:tcPr>
            <w:tcW w:w="1695" w:type="dxa"/>
            <w:vMerge w:val="continue"/>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center"/>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-150</w:t>
            </w:r>
          </w:p>
        </w:tc>
        <w:tc>
          <w:tcPr>
            <w:tcW w:w="73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1-12月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val="en-US" w:eastAsia="zh-CN" w:bidi="ar"/>
              </w:rPr>
            </w:pPr>
            <w:r>
              <w:rPr>
                <w:rFonts w:hint="eastAsia" w:ascii="仿宋_GB2312" w:hAnsi="仿宋_GB2312" w:eastAsia="仿宋_GB2312" w:cs="仿宋_GB2312"/>
                <w:snapToGrid w:val="0"/>
                <w:color w:val="000000"/>
                <w:spacing w:val="0"/>
                <w:kern w:val="0"/>
                <w:position w:val="0"/>
                <w:sz w:val="30"/>
                <w:szCs w:val="30"/>
                <w:lang w:val="en-US" w:eastAsia="zh-CN" w:bidi="ar"/>
              </w:rPr>
              <w:t>抽查危化品票面经营企业8家</w:t>
            </w:r>
          </w:p>
        </w:tc>
        <w:tc>
          <w:tcPr>
            <w:tcW w:w="147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危化品票面经营</w:t>
            </w:r>
          </w:p>
        </w:tc>
        <w:tc>
          <w:tcPr>
            <w:tcW w:w="1695" w:type="dxa"/>
            <w:shd w:val="clear" w:color="auto" w:fill="auto"/>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rPr>
            </w:pPr>
            <w:r>
              <w:rPr>
                <w:rFonts w:hint="eastAsia" w:ascii="仿宋_GB2312" w:hAnsi="仿宋_GB2312" w:eastAsia="仿宋_GB2312" w:cs="仿宋_GB2312"/>
                <w:snapToGrid w:val="0"/>
                <w:spacing w:val="0"/>
                <w:kern w:val="0"/>
                <w:position w:val="0"/>
                <w:sz w:val="30"/>
                <w:szCs w:val="30"/>
                <w:lang w:val="en-US" w:eastAsia="zh-CN"/>
              </w:rPr>
              <w:t>化工监管科</w:t>
            </w:r>
          </w:p>
        </w:tc>
      </w:tr>
    </w:tbl>
    <w:p>
      <w:pPr>
        <w:widowControl/>
        <w:shd w:val="clear" w:color="auto" w:fill="FFFFFF"/>
        <w:spacing w:line="560" w:lineRule="exact"/>
        <w:jc w:val="left"/>
        <w:rPr>
          <w:rFonts w:hint="eastAsia" w:ascii="黑体" w:hAnsi="黑体" w:eastAsia="黑体" w:cs="黑体"/>
          <w:b/>
          <w:spacing w:val="0"/>
          <w:kern w:val="0"/>
          <w:position w:val="0"/>
          <w:sz w:val="32"/>
          <w:szCs w:val="32"/>
        </w:rPr>
      </w:pPr>
    </w:p>
    <w:p>
      <w:pPr>
        <w:widowControl/>
        <w:shd w:val="clear" w:color="auto" w:fill="FFFFFF"/>
        <w:spacing w:line="560" w:lineRule="exact"/>
        <w:jc w:val="left"/>
        <w:rPr>
          <w:rFonts w:hint="eastAsia" w:ascii="黑体" w:hAnsi="黑体" w:eastAsia="黑体" w:cs="黑体"/>
          <w:b/>
          <w:spacing w:val="0"/>
          <w:kern w:val="0"/>
          <w:position w:val="0"/>
          <w:sz w:val="32"/>
          <w:szCs w:val="32"/>
        </w:rPr>
      </w:pPr>
    </w:p>
    <w:p>
      <w:pPr>
        <w:widowControl/>
        <w:shd w:val="clear" w:color="auto" w:fill="FFFFFF"/>
        <w:spacing w:line="580" w:lineRule="exact"/>
        <w:jc w:val="both"/>
        <w:rPr>
          <w:rFonts w:hint="default" w:ascii="黑体" w:hAnsi="黑体" w:eastAsia="黑体" w:cs="黑体"/>
          <w:b/>
          <w:spacing w:val="0"/>
          <w:kern w:val="0"/>
          <w:position w:val="0"/>
          <w:sz w:val="32"/>
          <w:szCs w:val="32"/>
          <w:lang w:val="en-US" w:eastAsia="zh-CN"/>
        </w:rPr>
      </w:pPr>
      <w:r>
        <w:rPr>
          <w:rFonts w:hint="eastAsia" w:ascii="黑体" w:hAnsi="黑体" w:eastAsia="黑体" w:cs="黑体"/>
          <w:b/>
          <w:spacing w:val="0"/>
          <w:kern w:val="0"/>
          <w:position w:val="0"/>
          <w:sz w:val="32"/>
          <w:szCs w:val="32"/>
        </w:rPr>
        <w:br w:type="page"/>
      </w:r>
      <w:r>
        <w:rPr>
          <w:rFonts w:hint="eastAsia" w:ascii="黑体" w:hAnsi="黑体" w:eastAsia="黑体" w:cs="黑体"/>
          <w:b w:val="0"/>
          <w:bCs/>
          <w:spacing w:val="0"/>
          <w:kern w:val="0"/>
          <w:position w:val="0"/>
          <w:sz w:val="32"/>
          <w:szCs w:val="32"/>
          <w:lang w:val="en-US" w:eastAsia="zh-CN"/>
        </w:rPr>
        <w:t>附件3</w:t>
      </w:r>
    </w:p>
    <w:p>
      <w:pPr>
        <w:widowControl/>
        <w:shd w:val="clear" w:color="auto" w:fill="FFFFFF"/>
        <w:spacing w:line="580" w:lineRule="exact"/>
        <w:jc w:val="center"/>
        <w:rPr>
          <w:rFonts w:hint="eastAsia" w:ascii="宋体" w:hAnsi="宋体" w:eastAsia="宋体" w:cs="宋体"/>
          <w:b/>
          <w:spacing w:val="0"/>
          <w:kern w:val="0"/>
          <w:position w:val="0"/>
          <w:sz w:val="44"/>
          <w:szCs w:val="44"/>
        </w:rPr>
      </w:pPr>
      <w:r>
        <w:rPr>
          <w:rFonts w:hint="eastAsia" w:ascii="宋体" w:hAnsi="宋体" w:eastAsia="宋体" w:cs="宋体"/>
          <w:b/>
          <w:spacing w:val="0"/>
          <w:kern w:val="0"/>
          <w:position w:val="0"/>
          <w:sz w:val="44"/>
          <w:szCs w:val="44"/>
        </w:rPr>
        <w:t>2025年</w:t>
      </w:r>
      <w:r>
        <w:rPr>
          <w:rFonts w:hint="eastAsia" w:ascii="宋体" w:hAnsi="宋体" w:eastAsia="宋体" w:cs="宋体"/>
          <w:b/>
          <w:spacing w:val="0"/>
          <w:kern w:val="0"/>
          <w:position w:val="0"/>
          <w:sz w:val="44"/>
          <w:szCs w:val="44"/>
          <w:lang w:val="en-US" w:eastAsia="zh-CN"/>
        </w:rPr>
        <w:t>一般</w:t>
      </w:r>
      <w:r>
        <w:rPr>
          <w:rFonts w:hint="eastAsia" w:ascii="宋体" w:hAnsi="宋体" w:eastAsia="宋体" w:cs="宋体"/>
          <w:b/>
          <w:spacing w:val="0"/>
          <w:kern w:val="0"/>
          <w:position w:val="0"/>
          <w:sz w:val="44"/>
          <w:szCs w:val="44"/>
        </w:rPr>
        <w:t>监督检查安排表</w:t>
      </w:r>
    </w:p>
    <w:p>
      <w:pPr>
        <w:widowControl/>
        <w:shd w:val="clear" w:color="auto" w:fill="FFFFFF"/>
        <w:spacing w:line="560" w:lineRule="exact"/>
        <w:jc w:val="left"/>
        <w:rPr>
          <w:rFonts w:hint="eastAsia" w:ascii="黑体" w:hAnsi="黑体" w:eastAsia="黑体" w:cs="黑体"/>
          <w:b/>
          <w:spacing w:val="0"/>
          <w:kern w:val="0"/>
          <w:position w:val="0"/>
          <w:sz w:val="32"/>
          <w:szCs w:val="32"/>
        </w:rPr>
      </w:pPr>
    </w:p>
    <w:tbl>
      <w:tblPr>
        <w:tblStyle w:val="6"/>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0"/>
        <w:gridCol w:w="735"/>
        <w:gridCol w:w="5250"/>
        <w:gridCol w:w="147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tblHeader/>
          <w:jc w:val="center"/>
        </w:trPr>
        <w:tc>
          <w:tcPr>
            <w:tcW w:w="63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snapToGrid w:val="0"/>
                <w:spacing w:val="0"/>
                <w:kern w:val="0"/>
                <w:position w:val="0"/>
                <w:sz w:val="30"/>
                <w:szCs w:val="30"/>
              </w:rPr>
            </w:pPr>
            <w:r>
              <w:rPr>
                <w:rFonts w:hint="eastAsia" w:ascii="仿宋_GB2312" w:hAnsi="仿宋_GB2312" w:eastAsia="仿宋_GB2312" w:cs="仿宋_GB2312"/>
                <w:b/>
                <w:snapToGrid w:val="0"/>
                <w:spacing w:val="0"/>
                <w:kern w:val="0"/>
                <w:position w:val="0"/>
                <w:sz w:val="30"/>
                <w:szCs w:val="30"/>
                <w:lang w:bidi="ar"/>
              </w:rPr>
              <w:t>序号</w:t>
            </w:r>
          </w:p>
        </w:tc>
        <w:tc>
          <w:tcPr>
            <w:tcW w:w="73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snapToGrid w:val="0"/>
                <w:spacing w:val="0"/>
                <w:kern w:val="0"/>
                <w:position w:val="0"/>
                <w:sz w:val="30"/>
                <w:szCs w:val="30"/>
              </w:rPr>
            </w:pPr>
            <w:r>
              <w:rPr>
                <w:rFonts w:hint="eastAsia" w:ascii="仿宋_GB2312" w:hAnsi="仿宋_GB2312" w:eastAsia="仿宋_GB2312" w:cs="仿宋_GB2312"/>
                <w:b/>
                <w:snapToGrid w:val="0"/>
                <w:spacing w:val="0"/>
                <w:kern w:val="0"/>
                <w:position w:val="0"/>
                <w:sz w:val="30"/>
                <w:szCs w:val="30"/>
                <w:lang w:bidi="ar"/>
              </w:rPr>
              <w:t>检查时间</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snapToGrid w:val="0"/>
                <w:spacing w:val="0"/>
                <w:kern w:val="0"/>
                <w:position w:val="0"/>
                <w:sz w:val="30"/>
                <w:szCs w:val="30"/>
                <w:lang w:val="en-US" w:eastAsia="zh-CN"/>
              </w:rPr>
            </w:pPr>
            <w:r>
              <w:rPr>
                <w:rFonts w:hint="eastAsia" w:ascii="仿宋_GB2312" w:hAnsi="仿宋_GB2312" w:eastAsia="仿宋_GB2312" w:cs="仿宋_GB2312"/>
                <w:b/>
                <w:snapToGrid w:val="0"/>
                <w:spacing w:val="0"/>
                <w:kern w:val="0"/>
                <w:position w:val="0"/>
                <w:sz w:val="30"/>
                <w:szCs w:val="30"/>
                <w:lang w:val="en-US" w:eastAsia="zh-CN" w:bidi="ar"/>
              </w:rPr>
              <w:t>行业领域</w:t>
            </w:r>
          </w:p>
        </w:tc>
        <w:tc>
          <w:tcPr>
            <w:tcW w:w="147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snapToGrid w:val="0"/>
                <w:spacing w:val="0"/>
                <w:kern w:val="0"/>
                <w:position w:val="0"/>
                <w:sz w:val="30"/>
                <w:szCs w:val="30"/>
                <w:lang w:val="en-US" w:eastAsia="zh-CN"/>
              </w:rPr>
            </w:pPr>
            <w:r>
              <w:rPr>
                <w:rFonts w:hint="eastAsia" w:ascii="仿宋_GB2312" w:hAnsi="仿宋_GB2312" w:eastAsia="仿宋_GB2312" w:cs="仿宋_GB2312"/>
                <w:b/>
                <w:snapToGrid w:val="0"/>
                <w:spacing w:val="0"/>
                <w:kern w:val="0"/>
                <w:position w:val="0"/>
                <w:sz w:val="30"/>
                <w:szCs w:val="30"/>
                <w:lang w:val="en-US" w:eastAsia="zh-CN"/>
              </w:rPr>
              <w:t>数量</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snapToGrid w:val="0"/>
                <w:spacing w:val="0"/>
                <w:kern w:val="0"/>
                <w:position w:val="0"/>
                <w:sz w:val="30"/>
                <w:szCs w:val="30"/>
                <w:lang w:val="en-US" w:eastAsia="zh-CN"/>
              </w:rPr>
            </w:pPr>
            <w:r>
              <w:rPr>
                <w:rFonts w:hint="eastAsia" w:ascii="仿宋_GB2312" w:hAnsi="仿宋_GB2312" w:eastAsia="仿宋_GB2312" w:cs="仿宋_GB2312"/>
                <w:b/>
                <w:snapToGrid w:val="0"/>
                <w:spacing w:val="0"/>
                <w:kern w:val="0"/>
                <w:position w:val="0"/>
                <w:sz w:val="30"/>
                <w:szCs w:val="30"/>
                <w:lang w:val="en-US" w:eastAsia="zh-CN"/>
              </w:rPr>
              <w:t>（家）</w:t>
            </w:r>
          </w:p>
        </w:tc>
        <w:tc>
          <w:tcPr>
            <w:tcW w:w="169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snapToGrid w:val="0"/>
                <w:spacing w:val="0"/>
                <w:kern w:val="0"/>
                <w:position w:val="0"/>
                <w:sz w:val="30"/>
                <w:szCs w:val="30"/>
              </w:rPr>
            </w:pPr>
            <w:r>
              <w:rPr>
                <w:rFonts w:hint="eastAsia" w:ascii="仿宋_GB2312" w:hAnsi="仿宋_GB2312" w:eastAsia="仿宋_GB2312" w:cs="仿宋_GB2312"/>
                <w:b/>
                <w:snapToGrid w:val="0"/>
                <w:spacing w:val="0"/>
                <w:kern w:val="0"/>
                <w:position w:val="0"/>
                <w:sz w:val="30"/>
                <w:szCs w:val="30"/>
                <w:lang w:bidi="ar"/>
              </w:rPr>
              <w:t>执行部门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bidi="ar"/>
              </w:rPr>
              <w:t>1</w:t>
            </w:r>
            <w:r>
              <w:rPr>
                <w:rFonts w:hint="eastAsia" w:ascii="仿宋_GB2312" w:hAnsi="仿宋_GB2312" w:eastAsia="仿宋_GB2312" w:cs="仿宋_GB2312"/>
                <w:snapToGrid w:val="0"/>
                <w:spacing w:val="0"/>
                <w:kern w:val="0"/>
                <w:position w:val="0"/>
                <w:sz w:val="30"/>
                <w:szCs w:val="30"/>
                <w:lang w:val="en-US" w:eastAsia="zh-CN" w:bidi="ar"/>
              </w:rPr>
              <w:t>-12</w:t>
            </w:r>
            <w:r>
              <w:rPr>
                <w:rFonts w:hint="eastAsia" w:ascii="仿宋_GB2312" w:hAnsi="仿宋_GB2312" w:eastAsia="仿宋_GB2312" w:cs="仿宋_GB2312"/>
                <w:snapToGrid w:val="0"/>
                <w:spacing w:val="0"/>
                <w:kern w:val="0"/>
                <w:position w:val="0"/>
                <w:sz w:val="30"/>
                <w:szCs w:val="30"/>
                <w:lang w:bidi="ar"/>
              </w:rPr>
              <w:t>月</w:t>
            </w: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危化</w:t>
            </w:r>
          </w:p>
        </w:tc>
        <w:tc>
          <w:tcPr>
            <w:tcW w:w="147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val="en-US" w:eastAsia="zh-CN" w:bidi="ar"/>
              </w:rPr>
            </w:pPr>
            <w:r>
              <w:rPr>
                <w:rFonts w:hint="eastAsia" w:ascii="仿宋_GB2312" w:hAnsi="仿宋_GB2312" w:eastAsia="仿宋_GB2312" w:cs="仿宋_GB2312"/>
                <w:snapToGrid w:val="0"/>
                <w:spacing w:val="0"/>
                <w:kern w:val="0"/>
                <w:position w:val="0"/>
                <w:sz w:val="30"/>
                <w:szCs w:val="30"/>
                <w:lang w:val="en-US" w:eastAsia="zh-CN" w:bidi="ar"/>
              </w:rPr>
              <w:t>6</w:t>
            </w:r>
          </w:p>
        </w:tc>
        <w:tc>
          <w:tcPr>
            <w:tcW w:w="1695" w:type="dxa"/>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lang w:val="en-US" w:eastAsia="zh-CN"/>
              </w:rPr>
            </w:pPr>
            <w:r>
              <w:rPr>
                <w:rFonts w:hint="eastAsia" w:ascii="仿宋_GB2312" w:hAnsi="仿宋_GB2312" w:eastAsia="仿宋_GB2312" w:cs="仿宋_GB2312"/>
                <w:snapToGrid w:val="0"/>
                <w:spacing w:val="0"/>
                <w:kern w:val="0"/>
                <w:position w:val="0"/>
                <w:sz w:val="30"/>
                <w:szCs w:val="30"/>
                <w:lang w:val="en-US" w:eastAsia="zh-CN"/>
              </w:rPr>
              <w:t>化工监管科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val="en-US" w:eastAsia="zh-CN" w:bidi="ar"/>
              </w:rPr>
              <w:t>加油站</w:t>
            </w:r>
          </w:p>
        </w:tc>
        <w:tc>
          <w:tcPr>
            <w:tcW w:w="147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4</w:t>
            </w:r>
          </w:p>
        </w:tc>
        <w:tc>
          <w:tcPr>
            <w:tcW w:w="1695" w:type="dxa"/>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r>
              <w:rPr>
                <w:rFonts w:hint="eastAsia" w:ascii="仿宋_GB2312" w:hAnsi="仿宋_GB2312" w:eastAsia="仿宋_GB2312" w:cs="仿宋_GB2312"/>
                <w:snapToGrid w:val="0"/>
                <w:spacing w:val="0"/>
                <w:kern w:val="0"/>
                <w:position w:val="0"/>
                <w:sz w:val="30"/>
                <w:szCs w:val="30"/>
                <w:lang w:val="en-US" w:eastAsia="zh-CN"/>
              </w:rPr>
              <w:t>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exact"/>
          <w:jc w:val="center"/>
        </w:trPr>
        <w:tc>
          <w:tcPr>
            <w:tcW w:w="630" w:type="dxa"/>
            <w:noWrap w:val="0"/>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567" w:leftChars="0" w:hanging="284" w:firstLineChars="0"/>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73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napToGrid w:val="0"/>
                <w:spacing w:val="0"/>
                <w:kern w:val="0"/>
                <w:position w:val="0"/>
                <w:sz w:val="30"/>
                <w:szCs w:val="30"/>
                <w:lang w:bidi="ar"/>
              </w:rPr>
            </w:pPr>
          </w:p>
        </w:tc>
        <w:tc>
          <w:tcPr>
            <w:tcW w:w="525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color w:val="000000"/>
                <w:spacing w:val="0"/>
                <w:kern w:val="0"/>
                <w:position w:val="0"/>
                <w:sz w:val="30"/>
                <w:szCs w:val="30"/>
                <w:lang w:eastAsia="zh-CN" w:bidi="ar"/>
              </w:rPr>
            </w:pPr>
            <w:r>
              <w:rPr>
                <w:rFonts w:hint="eastAsia" w:ascii="仿宋_GB2312" w:hAnsi="仿宋_GB2312" w:eastAsia="仿宋_GB2312" w:cs="仿宋_GB2312"/>
                <w:snapToGrid w:val="0"/>
                <w:color w:val="000000"/>
                <w:spacing w:val="0"/>
                <w:kern w:val="0"/>
                <w:position w:val="0"/>
                <w:sz w:val="30"/>
                <w:szCs w:val="30"/>
                <w:lang w:val="en-US" w:eastAsia="zh-CN" w:bidi="ar"/>
              </w:rPr>
              <w:t>工贸</w:t>
            </w:r>
          </w:p>
        </w:tc>
        <w:tc>
          <w:tcPr>
            <w:tcW w:w="147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top"/>
              <w:rPr>
                <w:rFonts w:hint="eastAsia" w:ascii="仿宋_GB2312" w:hAnsi="仿宋_GB2312" w:eastAsia="仿宋_GB2312" w:cs="仿宋_GB2312"/>
                <w:snapToGrid w:val="0"/>
                <w:spacing w:val="0"/>
                <w:kern w:val="0"/>
                <w:position w:val="0"/>
                <w:sz w:val="30"/>
                <w:szCs w:val="30"/>
                <w:lang w:bidi="ar"/>
              </w:rPr>
            </w:pPr>
            <w:r>
              <w:rPr>
                <w:rFonts w:hint="eastAsia" w:ascii="仿宋_GB2312" w:hAnsi="仿宋_GB2312" w:eastAsia="仿宋_GB2312" w:cs="仿宋_GB2312"/>
                <w:snapToGrid w:val="0"/>
                <w:spacing w:val="0"/>
                <w:kern w:val="0"/>
                <w:position w:val="0"/>
                <w:sz w:val="30"/>
                <w:szCs w:val="30"/>
                <w:lang w:val="en-US" w:eastAsia="zh-CN" w:bidi="ar"/>
              </w:rPr>
              <w:t>6</w:t>
            </w:r>
          </w:p>
        </w:tc>
        <w:tc>
          <w:tcPr>
            <w:tcW w:w="1695" w:type="dxa"/>
            <w:noWrap w:val="0"/>
            <w:vAlign w:val="center"/>
          </w:tcPr>
          <w:p>
            <w:pPr>
              <w:pStyle w:val="3"/>
              <w:keepNext w:val="0"/>
              <w:keepLines w:val="0"/>
              <w:pageBreakBefore w:val="0"/>
              <w:kinsoku/>
              <w:wordWrap/>
              <w:overflowPunct/>
              <w:topLinePunct w:val="0"/>
              <w:autoSpaceDE/>
              <w:autoSpaceDN/>
              <w:bidi w:val="0"/>
              <w:spacing w:after="0" w:line="400" w:lineRule="exact"/>
              <w:jc w:val="center"/>
              <w:rPr>
                <w:rFonts w:hint="eastAsia" w:ascii="仿宋_GB2312" w:hAnsi="仿宋_GB2312" w:eastAsia="仿宋_GB2312" w:cs="仿宋_GB2312"/>
                <w:snapToGrid w:val="0"/>
                <w:spacing w:val="0"/>
                <w:kern w:val="0"/>
                <w:position w:val="0"/>
                <w:sz w:val="30"/>
                <w:szCs w:val="30"/>
              </w:rPr>
            </w:pPr>
            <w:r>
              <w:rPr>
                <w:rFonts w:hint="eastAsia" w:ascii="仿宋_GB2312" w:hAnsi="仿宋_GB2312" w:eastAsia="仿宋_GB2312" w:cs="仿宋_GB2312"/>
                <w:snapToGrid w:val="0"/>
                <w:spacing w:val="0"/>
                <w:kern w:val="0"/>
                <w:position w:val="0"/>
                <w:sz w:val="30"/>
                <w:szCs w:val="30"/>
                <w:lang w:val="en-US" w:eastAsia="zh-CN"/>
              </w:rPr>
              <w:t>安监科</w:t>
            </w:r>
          </w:p>
        </w:tc>
      </w:tr>
    </w:tbl>
    <w:p>
      <w:pPr>
        <w:widowControl/>
        <w:shd w:val="clear" w:color="auto" w:fill="FFFFFF"/>
        <w:spacing w:line="560" w:lineRule="exact"/>
        <w:jc w:val="left"/>
        <w:rPr>
          <w:rFonts w:hint="eastAsia" w:ascii="黑体" w:hAnsi="黑体" w:eastAsia="黑体" w:cs="黑体"/>
          <w:bCs/>
          <w:spacing w:val="0"/>
          <w:kern w:val="0"/>
          <w:position w:val="0"/>
          <w:sz w:val="32"/>
          <w:szCs w:val="32"/>
        </w:rPr>
      </w:pPr>
    </w:p>
    <w:p>
      <w:pPr>
        <w:pStyle w:val="3"/>
        <w:rPr>
          <w:rFonts w:hint="eastAsia" w:ascii="黑体" w:hAnsi="黑体" w:eastAsia="黑体" w:cs="黑体"/>
          <w:bCs/>
          <w:spacing w:val="0"/>
          <w:kern w:val="0"/>
          <w:position w:val="0"/>
          <w:sz w:val="32"/>
          <w:szCs w:val="32"/>
        </w:rPr>
      </w:pPr>
    </w:p>
    <w:p>
      <w:pPr>
        <w:pStyle w:val="3"/>
        <w:rPr>
          <w:rFonts w:hint="eastAsia" w:ascii="黑体" w:hAnsi="黑体" w:eastAsia="黑体" w:cs="黑体"/>
          <w:bCs/>
          <w:spacing w:val="0"/>
          <w:kern w:val="0"/>
          <w:position w:val="0"/>
          <w:sz w:val="32"/>
          <w:szCs w:val="32"/>
        </w:rPr>
      </w:pPr>
    </w:p>
    <w:p>
      <w:pPr>
        <w:pStyle w:val="3"/>
        <w:rPr>
          <w:rFonts w:hint="eastAsia" w:ascii="黑体" w:hAnsi="黑体" w:eastAsia="黑体" w:cs="黑体"/>
          <w:bCs/>
          <w:spacing w:val="0"/>
          <w:kern w:val="0"/>
          <w:position w:val="0"/>
          <w:sz w:val="32"/>
          <w:szCs w:val="32"/>
        </w:rPr>
      </w:pPr>
    </w:p>
    <w:p>
      <w:pPr>
        <w:pStyle w:val="3"/>
        <w:rPr>
          <w:rFonts w:hint="eastAsia" w:ascii="黑体" w:hAnsi="黑体" w:eastAsia="黑体" w:cs="黑体"/>
          <w:bCs/>
          <w:spacing w:val="0"/>
          <w:kern w:val="0"/>
          <w:position w:val="0"/>
          <w:sz w:val="32"/>
          <w:szCs w:val="32"/>
        </w:rPr>
      </w:pPr>
    </w:p>
    <w:p>
      <w:pPr>
        <w:widowControl/>
        <w:shd w:val="clear" w:color="auto" w:fill="FFFFFF"/>
        <w:spacing w:line="560" w:lineRule="exact"/>
        <w:jc w:val="left"/>
        <w:rPr>
          <w:rFonts w:hint="eastAsia" w:ascii="黑体" w:hAnsi="黑体" w:eastAsia="黑体" w:cs="黑体"/>
          <w:bCs/>
          <w:spacing w:val="0"/>
          <w:kern w:val="0"/>
          <w:position w:val="0"/>
          <w:sz w:val="32"/>
          <w:szCs w:val="32"/>
        </w:rPr>
      </w:pPr>
    </w:p>
    <w:p>
      <w:pPr>
        <w:widowControl/>
        <w:shd w:val="clear" w:color="auto" w:fill="FFFFFF"/>
        <w:spacing w:line="560" w:lineRule="exact"/>
        <w:jc w:val="left"/>
        <w:rPr>
          <w:rFonts w:hint="eastAsia" w:ascii="黑体" w:hAnsi="黑体" w:eastAsia="黑体" w:cs="黑体"/>
          <w:bCs/>
          <w:spacing w:val="0"/>
          <w:kern w:val="0"/>
          <w:position w:val="0"/>
          <w:sz w:val="32"/>
          <w:szCs w:val="32"/>
        </w:rPr>
      </w:pPr>
    </w:p>
    <w:p>
      <w:pPr>
        <w:widowControl/>
        <w:shd w:val="clear" w:color="auto" w:fill="FFFFFF"/>
        <w:spacing w:line="560" w:lineRule="exact"/>
        <w:jc w:val="left"/>
        <w:rPr>
          <w:rFonts w:hint="eastAsia" w:ascii="黑体" w:hAnsi="黑体" w:eastAsia="黑体" w:cs="黑体"/>
          <w:bCs/>
          <w:spacing w:val="0"/>
          <w:kern w:val="0"/>
          <w:position w:val="0"/>
          <w:sz w:val="32"/>
          <w:szCs w:val="32"/>
        </w:rPr>
      </w:pPr>
    </w:p>
    <w:p>
      <w:pPr>
        <w:widowControl/>
        <w:shd w:val="clear" w:color="auto" w:fill="FFFFFF"/>
        <w:spacing w:line="560" w:lineRule="exact"/>
        <w:jc w:val="left"/>
        <w:rPr>
          <w:rFonts w:hint="eastAsia" w:ascii="黑体" w:hAnsi="黑体" w:eastAsia="黑体" w:cs="黑体"/>
          <w:bCs/>
          <w:spacing w:val="0"/>
          <w:kern w:val="0"/>
          <w:position w:val="0"/>
          <w:sz w:val="32"/>
          <w:szCs w:val="32"/>
        </w:rPr>
      </w:pPr>
    </w:p>
    <w:p>
      <w:pPr>
        <w:keepNext w:val="0"/>
        <w:keepLines w:val="0"/>
        <w:pageBreakBefore w:val="0"/>
        <w:widowControl w:val="0"/>
        <w:kinsoku/>
        <w:wordWrap/>
        <w:overflowPunct/>
        <w:topLinePunct w:val="0"/>
        <w:autoSpaceDE/>
        <w:autoSpaceDN/>
        <w:bidi w:val="0"/>
        <w:adjustRightInd/>
        <w:snapToGrid/>
        <w:spacing w:line="568" w:lineRule="exact"/>
        <w:textAlignment w:val="auto"/>
        <w:rPr>
          <w:rFonts w:hint="eastAsia" w:ascii="仿宋_GB2312" w:hAnsi="仿宋_GB2312" w:eastAsia="仿宋_GB2312" w:cs="仿宋_GB2312"/>
          <w:sz w:val="32"/>
          <w:szCs w:val="32"/>
        </w:rPr>
      </w:pPr>
    </w:p>
    <w:sectPr>
      <w:footerReference r:id="rId4" w:type="default"/>
      <w:pgSz w:w="11906" w:h="16838"/>
      <w:pgMar w:top="1587" w:right="1701" w:bottom="1701" w:left="1701" w:header="851" w:footer="992" w:gutter="0"/>
      <w:pgNumType w:fmt="decimal"/>
      <w:cols w:space="720" w:num="1"/>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国标楷体">
    <w:panose1 w:val="02000500000000000000"/>
    <w:charset w:val="86"/>
    <w:family w:val="auto"/>
    <w:pitch w:val="default"/>
    <w:sig w:usb0="00000001" w:usb1="08000000" w:usb2="00000000" w:usb3="00000000" w:csb0="00060007" w:csb1="00000000"/>
  </w:font>
  <w:font w:name="方正仿宋_GBK">
    <w:panose1 w:val="02000000000000000000"/>
    <w:charset w:val="86"/>
    <w:family w:val="auto"/>
    <w:pitch w:val="default"/>
    <w:sig w:usb0="00000001" w:usb1="08000000" w:usb2="00000000" w:usb3="00000000" w:csb0="00040000" w:csb1="00000000"/>
  </w:font>
  <w:font w:name="国标小标宋">
    <w:panose1 w:val="02000500000000000000"/>
    <w:charset w:val="86"/>
    <w:family w:val="auto"/>
    <w:pitch w:val="default"/>
    <w:sig w:usb0="00000001" w:usb1="08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jc w:val="center"/>
                            <w:rPr>
                              <w:rFonts w:ascii="Times New Roman"/>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oaYJL0wAAAAUB&#10;AAAPAAAAAAAAAAEAIAAAADgAAABkcnMvZG93bnJldi54bWxQSwECFAAUAAAACACHTuJAXiVGdNEB&#10;AACjAwAADgAAAAAAAAABACAAAAA4AQAAZHJzL2Uyb0RvYy54bWxQSwUGAAAAAAYABgBZAQAAewUA&#10;AAAA&#10;">
              <v:fill on="f" focussize="0,0"/>
              <v:stroke on="f" weight="1.25pt"/>
              <v:imagedata o:title=""/>
              <o:lock v:ext="edit" aspectratio="f"/>
              <v:textbox inset="0mm,0mm,0mm,0mm" style="mso-fit-shape-to-text:t;">
                <w:txbxContent>
                  <w:p>
                    <w:pPr>
                      <w:snapToGrid w:val="0"/>
                      <w:jc w:val="center"/>
                      <w:rPr>
                        <w:rFonts w:ascii="Times New Roman"/>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DAD96"/>
    <w:multiLevelType w:val="singleLevel"/>
    <w:tmpl w:val="D34DAD96"/>
    <w:lvl w:ilvl="0" w:tentative="0">
      <w:start w:val="1"/>
      <w:numFmt w:val="decimal"/>
      <w:lvlText w:val="%1"/>
      <w:lvlJc w:val="center"/>
      <w:pPr>
        <w:tabs>
          <w:tab w:val="left" w:pos="567"/>
        </w:tabs>
        <w:ind w:left="567" w:leftChars="0" w:hanging="284" w:firstLineChars="0"/>
      </w:pPr>
      <w:rPr>
        <w:rFonts w:hint="default"/>
      </w:rPr>
    </w:lvl>
  </w:abstractNum>
  <w:abstractNum w:abstractNumId="1">
    <w:nsid w:val="2AF7BC65"/>
    <w:multiLevelType w:val="singleLevel"/>
    <w:tmpl w:val="2AF7BC65"/>
    <w:lvl w:ilvl="0" w:tentative="0">
      <w:start w:val="1"/>
      <w:numFmt w:val="decimal"/>
      <w:lvlText w:val="%1"/>
      <w:lvlJc w:val="center"/>
      <w:pPr>
        <w:tabs>
          <w:tab w:val="left" w:pos="567"/>
        </w:tabs>
        <w:ind w:left="567" w:leftChars="0" w:hanging="284"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C3305"/>
    <w:rsid w:val="0C45508D"/>
    <w:rsid w:val="0F0C3305"/>
    <w:rsid w:val="14C33483"/>
    <w:rsid w:val="166B30D5"/>
    <w:rsid w:val="19590094"/>
    <w:rsid w:val="19EF40C6"/>
    <w:rsid w:val="1A0C7D49"/>
    <w:rsid w:val="1F554D58"/>
    <w:rsid w:val="1F590AB4"/>
    <w:rsid w:val="21883AE9"/>
    <w:rsid w:val="226607F1"/>
    <w:rsid w:val="237D3DD1"/>
    <w:rsid w:val="24576311"/>
    <w:rsid w:val="2A3B2E61"/>
    <w:rsid w:val="2D9B3127"/>
    <w:rsid w:val="446A1BCE"/>
    <w:rsid w:val="4755079F"/>
    <w:rsid w:val="58BF0B2C"/>
    <w:rsid w:val="5BF3662C"/>
    <w:rsid w:val="5C62691B"/>
    <w:rsid w:val="60A42CE0"/>
    <w:rsid w:val="6864130D"/>
    <w:rsid w:val="D5F739C6"/>
    <w:rsid w:val="DFCF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before="260" w:after="260" w:line="416" w:lineRule="auto"/>
      <w:outlineLvl w:val="2"/>
    </w:pPr>
    <w:rPr>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3053</Words>
  <Characters>3229</Characters>
  <Lines>0</Lines>
  <Paragraphs>0</Paragraphs>
  <TotalTime>8</TotalTime>
  <ScaleCrop>false</ScaleCrop>
  <LinksUpToDate>false</LinksUpToDate>
  <CharactersWithSpaces>3341</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2025-01-11T00:53:00Z</dcterms:created>
  <dc:creator>未十七兮</dc:creator>
  <cp:lastModifiedBy>朱三三</cp:lastModifiedBy>
  <cp:lastPrinted>2025-03-06T15:31:37Z</cp:lastPrinted>
  <dcterms:modified xsi:type="dcterms:W3CDTF">2025-03-06T15:53:13Z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A9901A9EB98A48D29AFE5F09D53A3A5E_13</vt:lpwstr>
  </property>
  <property fmtid="{D5CDD505-2E9C-101B-9397-08002B2CF9AE}" pid="4" name="KSOTemplateDocerSaveRecord">
    <vt:lpwstr>eyJoZGlkIjoiOTU1NDMyYmQ3MmFkYWYzZTMwMzY3MWNhYzhjZWU2ODQiLCJ1c2VySWQiOiIyODc1NTEyMzkifQ==</vt:lpwstr>
  </property>
</Properties>
</file>