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0" w:name="_Toc8286"/>
      <w:bookmarkStart w:id="1" w:name="_Toc26501"/>
      <w:bookmarkStart w:id="2" w:name="_Toc3767"/>
      <w:bookmarkStart w:id="3" w:name="_Toc17168"/>
      <w:bookmarkStart w:id="4" w:name="_Toc26951"/>
      <w:bookmarkStart w:id="5" w:name="_Toc24460"/>
      <w:bookmarkStart w:id="6" w:name="_Toc5690"/>
      <w:bookmarkStart w:id="7" w:name="_Toc4234"/>
      <w:bookmarkStart w:id="8" w:name="_Toc32603"/>
      <w:bookmarkStart w:id="9" w:name="_Toc12013"/>
      <w:bookmarkStart w:id="10" w:name="_Toc13948"/>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青山青山镇</w:t>
      </w:r>
      <w:bookmarkEnd w:id="0"/>
      <w:bookmarkEnd w:id="1"/>
      <w:bookmarkEnd w:id="2"/>
      <w:bookmarkStart w:id="11" w:name="_Toc6213"/>
      <w:bookmarkStart w:id="12" w:name="_Toc6823"/>
      <w:bookmarkStart w:id="13" w:name="_Toc620"/>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武汉港申船务有限公司</w:t>
      </w:r>
      <w:bookmarkEnd w:id="3"/>
      <w:bookmarkEnd w:id="4"/>
    </w:p>
    <w:p>
      <w:pPr>
        <w:jc w:val="center"/>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14" w:name="_Toc15418"/>
      <w:bookmarkStart w:id="15" w:name="_Toc26688"/>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“3·6”一般</w:t>
      </w:r>
      <w:bookmarkEnd w:id="11"/>
      <w:bookmarkEnd w:id="12"/>
      <w:bookmarkEnd w:id="13"/>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物体打击</w:t>
      </w:r>
      <w:bookmarkStart w:id="16" w:name="_Toc22878"/>
      <w:bookmarkStart w:id="17" w:name="_Toc21981"/>
      <w:bookmarkStart w:id="18" w:name="_Toc1308"/>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事故</w:t>
      </w:r>
      <w:bookmarkEnd w:id="5"/>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调查</w:t>
      </w:r>
      <w:bookmarkEnd w:id="6"/>
      <w:bookmarkEnd w:id="7"/>
      <w:bookmarkEnd w:id="8"/>
      <w:bookmarkStart w:id="19" w:name="_Toc30922"/>
      <w:bookmarkStart w:id="20" w:name="_Toc3869"/>
      <w:bookmarkStart w:id="21" w:name="_Toc16380"/>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报告</w:t>
      </w:r>
      <w:bookmarkEnd w:id="9"/>
      <w:bookmarkEnd w:id="10"/>
      <w:bookmarkEnd w:id="14"/>
      <w:bookmarkEnd w:id="15"/>
      <w:bookmarkEnd w:id="16"/>
      <w:bookmarkEnd w:id="17"/>
      <w:bookmarkEnd w:id="18"/>
      <w:bookmarkEnd w:id="19"/>
      <w:bookmarkEnd w:id="20"/>
      <w:bookmarkEnd w:id="21"/>
    </w:p>
    <w:p>
      <w:pPr>
        <w:pStyle w:val="2"/>
        <w:rPr>
          <w:rFonts w:hint="eastAsia"/>
          <w:lang w:val="en-US" w:eastAsia="zh-CN"/>
        </w:rPr>
      </w:pPr>
    </w:p>
    <w:p>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pPr>
        <w:pStyle w:val="2"/>
        <w:ind w:left="0" w:leftChars="0" w:firstLine="0" w:firstLineChars="0"/>
        <w:rPr>
          <w:rFonts w:hint="eastAsia" w:ascii="宋体" w:hAnsi="宋体" w:eastAsia="宋体" w:cs="宋体"/>
          <w:b/>
          <w:bCs/>
          <w:color w:val="000000" w:themeColor="text1"/>
          <w:sz w:val="48"/>
          <w:szCs w:val="48"/>
          <w:lang w:val="en-US" w:eastAsia="zh-CN"/>
          <w14:textFill>
            <w14:solidFill>
              <w14:schemeClr w14:val="tx1"/>
            </w14:solidFill>
          </w14:textFill>
        </w:rPr>
      </w:pPr>
    </w:p>
    <w:p>
      <w:pPr>
        <w:pStyle w:val="2"/>
        <w:ind w:left="0" w:leftChars="0" w:firstLine="0" w:firstLineChars="0"/>
        <w:rPr>
          <w:rFonts w:hint="eastAsia" w:ascii="宋体" w:hAnsi="宋体" w:eastAsia="宋体" w:cs="宋体"/>
          <w:b/>
          <w:bCs/>
          <w:color w:val="000000" w:themeColor="text1"/>
          <w:sz w:val="48"/>
          <w:szCs w:val="48"/>
          <w:lang w:val="en-US" w:eastAsia="zh-CN"/>
          <w14:textFill>
            <w14:solidFill>
              <w14:schemeClr w14:val="tx1"/>
            </w14:solidFill>
          </w14:textFill>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pPr>
        <w:jc w:val="cente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pPr>
        <w:jc w:val="cente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sectPr>
          <w:footerReference r:id="rId4" w:type="default"/>
          <w:pgSz w:w="11906" w:h="16838"/>
          <w:pgMar w:top="2098" w:right="1474" w:bottom="1984" w:left="1587" w:header="851" w:footer="992" w:gutter="0"/>
          <w:pgNumType w:fmt="decimal" w:start="1"/>
          <w:cols w:space="425" w:num="1"/>
          <w:docGrid w:type="lines" w:linePitch="312" w:charSpace="0"/>
        </w:sect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青山区“</w:t>
      </w:r>
      <w:r>
        <w:rPr>
          <w:rFonts w:hint="eastAsia" w:ascii="宋体" w:hAnsi="宋体" w:eastAsia="宋体" w:cs="宋体"/>
          <w:b w:val="0"/>
          <w:bCs w:val="0"/>
          <w:color w:val="000000" w:themeColor="text1"/>
          <w:sz w:val="32"/>
          <w:szCs w:val="32"/>
          <w:lang w:val="en-US" w:eastAsia="zh-CN"/>
          <w14:textFill>
            <w14:solidFill>
              <w14:schemeClr w14:val="tx1"/>
            </w14:solidFill>
          </w14:textFill>
        </w:rPr>
        <w:t>3·6</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”一般物体打击事故调查组</w:t>
      </w:r>
    </w:p>
    <w:sdt>
      <w:sdtPr>
        <w:rPr>
          <w:rFonts w:ascii="宋体" w:hAnsi="宋体" w:eastAsia="宋体" w:cstheme="minorBidi"/>
          <w:kern w:val="2"/>
          <w:sz w:val="32"/>
          <w:szCs w:val="32"/>
          <w:lang w:val="en-US" w:eastAsia="zh-CN" w:bidi="ar-SA"/>
        </w:rPr>
        <w:id w:val="147479846"/>
        <w15:color w:val="DBDBDB"/>
        <w:docPartObj>
          <w:docPartGallery w:val="Table of Contents"/>
          <w:docPartUnique/>
        </w:docPartObj>
      </w:sdtPr>
      <w:sdtEndPr>
        <w:rPr>
          <w:rFonts w:ascii="宋体" w:hAnsi="宋体" w:eastAsia="宋体" w:cstheme="minorBidi"/>
          <w:b/>
          <w:kern w:val="2"/>
          <w:sz w:val="24"/>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Theme="minorHAnsi" w:hAnsiTheme="minorHAnsi" w:eastAsiaTheme="minorEastAsia" w:cstheme="minorBidi"/>
              <w:kern w:val="2"/>
              <w:sz w:val="24"/>
              <w:szCs w:val="24"/>
              <w:lang w:val="en-US" w:eastAsia="zh-CN" w:bidi="ar-SA"/>
            </w:rPr>
          </w:pPr>
          <w:r>
            <w:rPr>
              <w:rFonts w:hint="eastAsia" w:ascii="宋体" w:hAnsi="宋体" w:eastAsia="宋体" w:cs="宋体"/>
              <w:b/>
              <w:bCs/>
              <w:sz w:val="32"/>
              <w:szCs w:val="32"/>
            </w:rPr>
            <w:t>目</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录</w:t>
          </w:r>
          <w:r>
            <w:rPr>
              <w:sz w:val="24"/>
              <w:szCs w:val="24"/>
            </w:rPr>
            <w:fldChar w:fldCharType="begin"/>
          </w:r>
          <w:r>
            <w:rPr>
              <w:sz w:val="24"/>
              <w:szCs w:val="24"/>
            </w:rPr>
            <w:instrText xml:space="preserve">TOC \o "1-2" \h \u </w:instrText>
          </w:r>
          <w:r>
            <w:rPr>
              <w:sz w:val="24"/>
              <w:szCs w:val="24"/>
            </w:rPr>
            <w:fldChar w:fldCharType="separate"/>
          </w:r>
        </w:p>
        <w:p>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p>
        <w:p>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_Toc29930 </w:instrText>
          </w:r>
          <w:r>
            <w:rPr>
              <w:sz w:val="24"/>
              <w:szCs w:val="24"/>
            </w:rPr>
            <w:fldChar w:fldCharType="separate"/>
          </w:r>
          <w:r>
            <w:rPr>
              <w:rFonts w:hint="eastAsia" w:ascii="黑体" w:hAnsi="黑体" w:eastAsia="黑体" w:cs="黑体"/>
              <w:sz w:val="24"/>
              <w:szCs w:val="24"/>
              <w:lang w:val="en-US" w:eastAsia="zh-CN"/>
            </w:rPr>
            <w:t>一、事故基本情况</w:t>
          </w:r>
          <w:r>
            <w:rPr>
              <w:sz w:val="24"/>
              <w:szCs w:val="24"/>
            </w:rPr>
            <w:tab/>
          </w:r>
          <w:r>
            <w:rPr>
              <w:sz w:val="24"/>
              <w:szCs w:val="24"/>
            </w:rPr>
            <w:fldChar w:fldCharType="begin"/>
          </w:r>
          <w:r>
            <w:rPr>
              <w:sz w:val="24"/>
              <w:szCs w:val="24"/>
            </w:rPr>
            <w:instrText xml:space="preserve"> PAGEREF _Toc29930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_Toc28704 </w:instrText>
          </w:r>
          <w:r>
            <w:rPr>
              <w:sz w:val="24"/>
              <w:szCs w:val="24"/>
            </w:rPr>
            <w:fldChar w:fldCharType="separate"/>
          </w:r>
          <w:r>
            <w:rPr>
              <w:rFonts w:hint="eastAsia" w:ascii="楷体_GB2312" w:hAnsi="楷体_GB2312" w:eastAsia="楷体_GB2312" w:cs="楷体_GB2312"/>
              <w:bCs/>
              <w:sz w:val="24"/>
              <w:szCs w:val="24"/>
              <w:lang w:val="en-US" w:eastAsia="zh-CN"/>
            </w:rPr>
            <w:t>（一）事故发生单位及相关单位概况</w:t>
          </w:r>
          <w:r>
            <w:rPr>
              <w:sz w:val="24"/>
              <w:szCs w:val="24"/>
            </w:rPr>
            <w:tab/>
          </w:r>
          <w:r>
            <w:rPr>
              <w:sz w:val="24"/>
              <w:szCs w:val="24"/>
            </w:rPr>
            <w:fldChar w:fldCharType="begin"/>
          </w:r>
          <w:r>
            <w:rPr>
              <w:sz w:val="24"/>
              <w:szCs w:val="24"/>
            </w:rPr>
            <w:instrText xml:space="preserve"> PAGEREF _Toc28704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_Toc1550 </w:instrText>
          </w:r>
          <w:r>
            <w:rPr>
              <w:sz w:val="24"/>
              <w:szCs w:val="24"/>
            </w:rPr>
            <w:fldChar w:fldCharType="separate"/>
          </w:r>
          <w:r>
            <w:rPr>
              <w:rFonts w:hint="eastAsia" w:ascii="楷体_GB2312" w:hAnsi="楷体_GB2312" w:eastAsia="楷体_GB2312" w:cs="楷体_GB2312"/>
              <w:bCs/>
              <w:sz w:val="24"/>
              <w:szCs w:val="24"/>
              <w:lang w:val="en-US" w:eastAsia="zh-CN"/>
            </w:rPr>
            <w:t>（二）事故发生单位安全管理情况</w:t>
          </w:r>
          <w:r>
            <w:rPr>
              <w:sz w:val="24"/>
              <w:szCs w:val="24"/>
            </w:rPr>
            <w:tab/>
          </w:r>
          <w:r>
            <w:rPr>
              <w:sz w:val="24"/>
              <w:szCs w:val="24"/>
            </w:rPr>
            <w:fldChar w:fldCharType="begin"/>
          </w:r>
          <w:r>
            <w:rPr>
              <w:sz w:val="24"/>
              <w:szCs w:val="24"/>
            </w:rPr>
            <w:instrText xml:space="preserve"> PAGEREF _Toc1550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_Toc1985 </w:instrText>
          </w:r>
          <w:r>
            <w:rPr>
              <w:sz w:val="24"/>
              <w:szCs w:val="24"/>
            </w:rPr>
            <w:fldChar w:fldCharType="separate"/>
          </w:r>
          <w:r>
            <w:rPr>
              <w:rFonts w:hint="eastAsia" w:ascii="楷体_GB2312" w:hAnsi="楷体_GB2312" w:eastAsia="楷体_GB2312" w:cs="楷体_GB2312"/>
              <w:bCs/>
              <w:sz w:val="24"/>
              <w:szCs w:val="24"/>
              <w:lang w:val="en-US" w:eastAsia="zh-CN"/>
            </w:rPr>
            <w:t>（三）事故发生经过</w:t>
          </w:r>
          <w:r>
            <w:rPr>
              <w:sz w:val="24"/>
              <w:szCs w:val="24"/>
            </w:rPr>
            <w:tab/>
          </w:r>
          <w:r>
            <w:rPr>
              <w:sz w:val="24"/>
              <w:szCs w:val="24"/>
            </w:rPr>
            <w:fldChar w:fldCharType="begin"/>
          </w:r>
          <w:r>
            <w:rPr>
              <w:sz w:val="24"/>
              <w:szCs w:val="24"/>
            </w:rPr>
            <w:instrText xml:space="preserve"> PAGEREF _Toc1985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_Toc27039 </w:instrText>
          </w:r>
          <w:r>
            <w:rPr>
              <w:sz w:val="24"/>
              <w:szCs w:val="24"/>
            </w:rPr>
            <w:fldChar w:fldCharType="separate"/>
          </w:r>
          <w:r>
            <w:rPr>
              <w:rFonts w:hint="eastAsia" w:ascii="楷体_GB2312" w:hAnsi="楷体_GB2312" w:eastAsia="楷体_GB2312" w:cs="楷体_GB2312"/>
              <w:bCs/>
              <w:sz w:val="24"/>
              <w:szCs w:val="24"/>
              <w:lang w:val="en-US" w:eastAsia="zh-CN"/>
            </w:rPr>
            <w:t>（四）事故现场情况</w:t>
          </w:r>
          <w:r>
            <w:rPr>
              <w:sz w:val="24"/>
              <w:szCs w:val="24"/>
            </w:rPr>
            <w:tab/>
          </w:r>
          <w:r>
            <w:rPr>
              <w:sz w:val="24"/>
              <w:szCs w:val="24"/>
            </w:rPr>
            <w:fldChar w:fldCharType="begin"/>
          </w:r>
          <w:r>
            <w:rPr>
              <w:sz w:val="24"/>
              <w:szCs w:val="24"/>
            </w:rPr>
            <w:instrText xml:space="preserve"> PAGEREF _Toc27039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_Toc17137 </w:instrText>
          </w:r>
          <w:r>
            <w:rPr>
              <w:sz w:val="24"/>
              <w:szCs w:val="24"/>
            </w:rPr>
            <w:fldChar w:fldCharType="separate"/>
          </w:r>
          <w:r>
            <w:rPr>
              <w:rFonts w:hint="eastAsia" w:ascii="楷体_GB2312" w:hAnsi="楷体_GB2312" w:eastAsia="楷体_GB2312" w:cs="楷体_GB2312"/>
              <w:bCs/>
              <w:sz w:val="24"/>
              <w:szCs w:val="24"/>
              <w:lang w:val="en-US" w:eastAsia="zh-CN"/>
            </w:rPr>
            <w:t>（五）人员伤亡和直接经济损失情况</w:t>
          </w:r>
          <w:r>
            <w:rPr>
              <w:sz w:val="24"/>
              <w:szCs w:val="24"/>
            </w:rPr>
            <w:tab/>
          </w:r>
          <w:r>
            <w:rPr>
              <w:sz w:val="24"/>
              <w:szCs w:val="24"/>
            </w:rPr>
            <w:fldChar w:fldCharType="begin"/>
          </w:r>
          <w:r>
            <w:rPr>
              <w:sz w:val="24"/>
              <w:szCs w:val="24"/>
            </w:rPr>
            <w:instrText xml:space="preserve"> PAGEREF _Toc17137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_Toc10983 </w:instrText>
          </w:r>
          <w:r>
            <w:rPr>
              <w:sz w:val="24"/>
              <w:szCs w:val="24"/>
            </w:rPr>
            <w:fldChar w:fldCharType="separate"/>
          </w:r>
          <w:r>
            <w:rPr>
              <w:rFonts w:hint="eastAsia" w:ascii="楷体_GB2312" w:hAnsi="楷体_GB2312" w:eastAsia="楷体_GB2312" w:cs="楷体_GB2312"/>
              <w:bCs/>
              <w:sz w:val="24"/>
              <w:szCs w:val="24"/>
              <w:lang w:val="en-US" w:eastAsia="zh-CN"/>
            </w:rPr>
            <w:t>（六）其他情况</w:t>
          </w:r>
          <w:r>
            <w:rPr>
              <w:sz w:val="24"/>
              <w:szCs w:val="24"/>
            </w:rPr>
            <w:tab/>
          </w:r>
          <w:r>
            <w:rPr>
              <w:sz w:val="24"/>
              <w:szCs w:val="24"/>
            </w:rPr>
            <w:fldChar w:fldCharType="begin"/>
          </w:r>
          <w:r>
            <w:rPr>
              <w:sz w:val="24"/>
              <w:szCs w:val="24"/>
            </w:rPr>
            <w:instrText xml:space="preserve"> PAGEREF _Toc10983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_Toc4932 </w:instrText>
          </w:r>
          <w:r>
            <w:rPr>
              <w:sz w:val="24"/>
              <w:szCs w:val="24"/>
            </w:rPr>
            <w:fldChar w:fldCharType="separate"/>
          </w:r>
          <w:r>
            <w:rPr>
              <w:rFonts w:hint="eastAsia" w:ascii="黑体" w:hAnsi="黑体" w:eastAsia="黑体" w:cs="黑体"/>
              <w:sz w:val="24"/>
              <w:szCs w:val="24"/>
              <w:lang w:val="en-US" w:eastAsia="zh-CN"/>
            </w:rPr>
            <w:t>二、事故应急处置及评估情况</w:t>
          </w:r>
          <w:r>
            <w:rPr>
              <w:sz w:val="24"/>
              <w:szCs w:val="24"/>
            </w:rPr>
            <w:tab/>
          </w:r>
          <w:r>
            <w:rPr>
              <w:sz w:val="24"/>
              <w:szCs w:val="24"/>
            </w:rPr>
            <w:fldChar w:fldCharType="begin"/>
          </w:r>
          <w:r>
            <w:rPr>
              <w:sz w:val="24"/>
              <w:szCs w:val="24"/>
            </w:rPr>
            <w:instrText xml:space="preserve"> PAGEREF _Toc4932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_Toc8992 </w:instrText>
          </w:r>
          <w:r>
            <w:rPr>
              <w:sz w:val="24"/>
              <w:szCs w:val="24"/>
            </w:rPr>
            <w:fldChar w:fldCharType="separate"/>
          </w:r>
          <w:r>
            <w:rPr>
              <w:rFonts w:hint="eastAsia" w:ascii="楷体_GB2312" w:hAnsi="楷体_GB2312" w:eastAsia="楷体_GB2312" w:cs="楷体_GB2312"/>
              <w:bCs/>
              <w:sz w:val="24"/>
              <w:szCs w:val="24"/>
              <w:lang w:val="en-US" w:eastAsia="zh-CN"/>
            </w:rPr>
            <w:t>（一）事故信息接报及响应情况</w:t>
          </w:r>
          <w:r>
            <w:rPr>
              <w:sz w:val="24"/>
              <w:szCs w:val="24"/>
            </w:rPr>
            <w:tab/>
          </w:r>
          <w:r>
            <w:rPr>
              <w:sz w:val="24"/>
              <w:szCs w:val="24"/>
            </w:rPr>
            <w:fldChar w:fldCharType="begin"/>
          </w:r>
          <w:r>
            <w:rPr>
              <w:sz w:val="24"/>
              <w:szCs w:val="24"/>
            </w:rPr>
            <w:instrText xml:space="preserve"> PAGEREF _Toc8992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_Toc23456 </w:instrText>
          </w:r>
          <w:r>
            <w:rPr>
              <w:sz w:val="24"/>
              <w:szCs w:val="24"/>
            </w:rPr>
            <w:fldChar w:fldCharType="separate"/>
          </w:r>
          <w:r>
            <w:rPr>
              <w:rFonts w:hint="eastAsia" w:ascii="楷体_GB2312" w:hAnsi="楷体_GB2312" w:eastAsia="楷体_GB2312" w:cs="楷体_GB2312"/>
              <w:bCs/>
              <w:sz w:val="24"/>
              <w:szCs w:val="24"/>
              <w:lang w:val="en-US" w:eastAsia="zh-CN"/>
            </w:rPr>
            <w:t>（二）事故现场应急处置情况</w:t>
          </w:r>
          <w:r>
            <w:rPr>
              <w:sz w:val="24"/>
              <w:szCs w:val="24"/>
            </w:rPr>
            <w:tab/>
          </w:r>
          <w:r>
            <w:rPr>
              <w:sz w:val="24"/>
              <w:szCs w:val="24"/>
            </w:rPr>
            <w:fldChar w:fldCharType="begin"/>
          </w:r>
          <w:r>
            <w:rPr>
              <w:sz w:val="24"/>
              <w:szCs w:val="24"/>
            </w:rPr>
            <w:instrText xml:space="preserve"> PAGEREF _Toc23456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_Toc20045 </w:instrText>
          </w:r>
          <w:r>
            <w:rPr>
              <w:sz w:val="24"/>
              <w:szCs w:val="24"/>
            </w:rPr>
            <w:fldChar w:fldCharType="separate"/>
          </w:r>
          <w:r>
            <w:rPr>
              <w:rFonts w:hint="eastAsia" w:ascii="楷体_GB2312" w:hAnsi="楷体_GB2312" w:eastAsia="楷体_GB2312" w:cs="楷体_GB2312"/>
              <w:bCs/>
              <w:sz w:val="24"/>
              <w:szCs w:val="24"/>
              <w:lang w:val="en-US" w:eastAsia="zh-CN"/>
            </w:rPr>
            <w:t>（三）事故应急处置评估</w:t>
          </w:r>
          <w:r>
            <w:rPr>
              <w:sz w:val="24"/>
              <w:szCs w:val="24"/>
            </w:rPr>
            <w:tab/>
          </w:r>
          <w:r>
            <w:rPr>
              <w:sz w:val="24"/>
              <w:szCs w:val="24"/>
            </w:rPr>
            <w:fldChar w:fldCharType="begin"/>
          </w:r>
          <w:r>
            <w:rPr>
              <w:sz w:val="24"/>
              <w:szCs w:val="24"/>
            </w:rPr>
            <w:instrText xml:space="preserve"> PAGEREF _Toc20045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_Toc3732 </w:instrText>
          </w:r>
          <w:r>
            <w:rPr>
              <w:sz w:val="24"/>
              <w:szCs w:val="24"/>
            </w:rPr>
            <w:fldChar w:fldCharType="separate"/>
          </w:r>
          <w:r>
            <w:rPr>
              <w:rFonts w:hint="eastAsia" w:ascii="黑体" w:hAnsi="黑体" w:eastAsia="黑体" w:cs="黑体"/>
              <w:sz w:val="24"/>
              <w:szCs w:val="24"/>
              <w:lang w:val="en-US" w:eastAsia="zh-CN"/>
            </w:rPr>
            <w:t>三、事故原因分析</w:t>
          </w:r>
          <w:r>
            <w:rPr>
              <w:sz w:val="24"/>
              <w:szCs w:val="24"/>
            </w:rPr>
            <w:tab/>
          </w:r>
          <w:r>
            <w:rPr>
              <w:sz w:val="24"/>
              <w:szCs w:val="24"/>
            </w:rPr>
            <w:fldChar w:fldCharType="begin"/>
          </w:r>
          <w:r>
            <w:rPr>
              <w:sz w:val="24"/>
              <w:szCs w:val="24"/>
            </w:rPr>
            <w:instrText xml:space="preserve"> PAGEREF _Toc3732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_Toc29657 </w:instrText>
          </w:r>
          <w:r>
            <w:rPr>
              <w:sz w:val="24"/>
              <w:szCs w:val="24"/>
            </w:rPr>
            <w:fldChar w:fldCharType="separate"/>
          </w:r>
          <w:r>
            <w:rPr>
              <w:rFonts w:hint="eastAsia" w:ascii="楷体_GB2312" w:hAnsi="楷体_GB2312" w:eastAsia="楷体_GB2312" w:cs="楷体_GB2312"/>
              <w:bCs/>
              <w:sz w:val="24"/>
              <w:szCs w:val="24"/>
              <w:lang w:val="en-US" w:eastAsia="zh-CN"/>
            </w:rPr>
            <w:t>（一）直接原因分析</w:t>
          </w:r>
          <w:r>
            <w:rPr>
              <w:sz w:val="24"/>
              <w:szCs w:val="24"/>
            </w:rPr>
            <w:tab/>
          </w:r>
          <w:r>
            <w:rPr>
              <w:sz w:val="24"/>
              <w:szCs w:val="24"/>
            </w:rPr>
            <w:fldChar w:fldCharType="begin"/>
          </w:r>
          <w:r>
            <w:rPr>
              <w:sz w:val="24"/>
              <w:szCs w:val="24"/>
            </w:rPr>
            <w:instrText xml:space="preserve"> PAGEREF _Toc29657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_Toc2034 </w:instrText>
          </w:r>
          <w:r>
            <w:rPr>
              <w:sz w:val="24"/>
              <w:szCs w:val="24"/>
            </w:rPr>
            <w:fldChar w:fldCharType="separate"/>
          </w:r>
          <w:r>
            <w:rPr>
              <w:rFonts w:hint="eastAsia" w:ascii="楷体_GB2312" w:hAnsi="楷体_GB2312" w:eastAsia="楷体_GB2312" w:cs="楷体_GB2312"/>
              <w:bCs/>
              <w:sz w:val="24"/>
              <w:szCs w:val="24"/>
              <w:lang w:val="en-US" w:eastAsia="zh-CN"/>
            </w:rPr>
            <w:t>（二）间接原因分析</w:t>
          </w:r>
          <w:r>
            <w:rPr>
              <w:sz w:val="24"/>
              <w:szCs w:val="24"/>
            </w:rPr>
            <w:tab/>
          </w:r>
          <w:r>
            <w:rPr>
              <w:sz w:val="24"/>
              <w:szCs w:val="24"/>
            </w:rPr>
            <w:fldChar w:fldCharType="begin"/>
          </w:r>
          <w:r>
            <w:rPr>
              <w:sz w:val="24"/>
              <w:szCs w:val="24"/>
            </w:rPr>
            <w:instrText xml:space="preserve"> PAGEREF _Toc2034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_Toc7518 </w:instrText>
          </w:r>
          <w:r>
            <w:rPr>
              <w:sz w:val="24"/>
              <w:szCs w:val="24"/>
            </w:rPr>
            <w:fldChar w:fldCharType="separate"/>
          </w:r>
          <w:r>
            <w:rPr>
              <w:rFonts w:hint="eastAsia" w:ascii="黑体" w:hAnsi="黑体" w:eastAsia="黑体" w:cs="黑体"/>
              <w:sz w:val="24"/>
              <w:szCs w:val="24"/>
              <w:lang w:val="en-US" w:eastAsia="zh-CN"/>
            </w:rPr>
            <w:t>四、有关责任单位存在的问题</w:t>
          </w:r>
          <w:r>
            <w:rPr>
              <w:sz w:val="24"/>
              <w:szCs w:val="24"/>
            </w:rPr>
            <w:tab/>
          </w:r>
          <w:r>
            <w:rPr>
              <w:sz w:val="24"/>
              <w:szCs w:val="24"/>
            </w:rPr>
            <w:fldChar w:fldCharType="begin"/>
          </w:r>
          <w:r>
            <w:rPr>
              <w:sz w:val="24"/>
              <w:szCs w:val="24"/>
            </w:rPr>
            <w:instrText xml:space="preserve"> PAGEREF _Toc7518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_Toc20391 </w:instrText>
          </w:r>
          <w:r>
            <w:rPr>
              <w:sz w:val="24"/>
              <w:szCs w:val="24"/>
            </w:rPr>
            <w:fldChar w:fldCharType="separate"/>
          </w:r>
          <w:r>
            <w:rPr>
              <w:rFonts w:hint="eastAsia" w:ascii="黑体" w:hAnsi="黑体" w:eastAsia="黑体" w:cs="黑体"/>
              <w:sz w:val="24"/>
              <w:szCs w:val="24"/>
              <w:lang w:val="en-US" w:eastAsia="zh-CN"/>
            </w:rPr>
            <w:t>五、对有关责任人员和责任单位的处理建议</w:t>
          </w:r>
          <w:r>
            <w:rPr>
              <w:sz w:val="24"/>
              <w:szCs w:val="24"/>
            </w:rPr>
            <w:tab/>
          </w:r>
          <w:r>
            <w:rPr>
              <w:sz w:val="24"/>
              <w:szCs w:val="24"/>
            </w:rPr>
            <w:fldChar w:fldCharType="begin"/>
          </w:r>
          <w:r>
            <w:rPr>
              <w:sz w:val="24"/>
              <w:szCs w:val="24"/>
            </w:rPr>
            <w:instrText xml:space="preserve"> PAGEREF _Toc20391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_Toc27154 </w:instrText>
          </w:r>
          <w:r>
            <w:rPr>
              <w:sz w:val="24"/>
              <w:szCs w:val="24"/>
            </w:rPr>
            <w:fldChar w:fldCharType="separate"/>
          </w:r>
          <w:r>
            <w:rPr>
              <w:rFonts w:hint="eastAsia" w:ascii="楷体_GB2312" w:hAnsi="楷体_GB2312" w:eastAsia="楷体_GB2312" w:cs="楷体_GB2312"/>
              <w:bCs/>
              <w:sz w:val="24"/>
              <w:szCs w:val="24"/>
              <w:lang w:val="en-US" w:eastAsia="zh-CN"/>
            </w:rPr>
            <w:t>（一）因在事故中死亡免予追究责任人员</w:t>
          </w:r>
          <w:r>
            <w:rPr>
              <w:sz w:val="24"/>
              <w:szCs w:val="24"/>
            </w:rPr>
            <w:tab/>
          </w:r>
          <w:r>
            <w:rPr>
              <w:sz w:val="24"/>
              <w:szCs w:val="24"/>
            </w:rPr>
            <w:fldChar w:fldCharType="begin"/>
          </w:r>
          <w:r>
            <w:rPr>
              <w:sz w:val="24"/>
              <w:szCs w:val="24"/>
            </w:rPr>
            <w:instrText xml:space="preserve"> PAGEREF _Toc27154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7"/>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_Toc11308 </w:instrText>
          </w:r>
          <w:r>
            <w:rPr>
              <w:sz w:val="24"/>
              <w:szCs w:val="24"/>
            </w:rPr>
            <w:fldChar w:fldCharType="separate"/>
          </w:r>
          <w:r>
            <w:rPr>
              <w:rFonts w:hint="eastAsia" w:ascii="楷体_GB2312" w:hAnsi="楷体_GB2312" w:eastAsia="楷体_GB2312" w:cs="楷体_GB2312"/>
              <w:bCs/>
              <w:sz w:val="24"/>
              <w:szCs w:val="24"/>
              <w:lang w:val="en-US" w:eastAsia="zh-CN"/>
            </w:rPr>
            <w:t>（二）对事故有关责任人员和责任单位的行政处罚建议</w:t>
          </w:r>
          <w:r>
            <w:rPr>
              <w:sz w:val="24"/>
              <w:szCs w:val="24"/>
            </w:rPr>
            <w:tab/>
          </w:r>
          <w:r>
            <w:rPr>
              <w:sz w:val="24"/>
              <w:szCs w:val="24"/>
            </w:rPr>
            <w:fldChar w:fldCharType="begin"/>
          </w:r>
          <w:r>
            <w:rPr>
              <w:sz w:val="24"/>
              <w:szCs w:val="24"/>
            </w:rPr>
            <w:instrText xml:space="preserve"> PAGEREF _Toc11308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_Toc577 </w:instrText>
          </w:r>
          <w:r>
            <w:rPr>
              <w:sz w:val="24"/>
              <w:szCs w:val="24"/>
            </w:rPr>
            <w:fldChar w:fldCharType="separate"/>
          </w:r>
          <w:r>
            <w:rPr>
              <w:rFonts w:hint="eastAsia" w:ascii="黑体" w:hAnsi="黑体" w:eastAsia="黑体" w:cs="黑体"/>
              <w:sz w:val="24"/>
              <w:szCs w:val="24"/>
              <w:lang w:val="en-US" w:eastAsia="zh-CN"/>
            </w:rPr>
            <w:t>六、事故主要教训</w:t>
          </w:r>
          <w:r>
            <w:rPr>
              <w:sz w:val="24"/>
              <w:szCs w:val="24"/>
            </w:rPr>
            <w:tab/>
          </w:r>
          <w:r>
            <w:rPr>
              <w:sz w:val="24"/>
              <w:szCs w:val="24"/>
            </w:rPr>
            <w:fldChar w:fldCharType="begin"/>
          </w:r>
          <w:r>
            <w:rPr>
              <w:sz w:val="24"/>
              <w:szCs w:val="24"/>
            </w:rPr>
            <w:instrText xml:space="preserve"> PAGEREF _Toc577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5"/>
            <w:keepNext w:val="0"/>
            <w:keepLines w:val="0"/>
            <w:pageBreakBefore w:val="0"/>
            <w:widowControl w:val="0"/>
            <w:tabs>
              <w:tab w:val="right" w:leader="dot" w:pos="901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_Toc31109 </w:instrText>
          </w:r>
          <w:r>
            <w:rPr>
              <w:sz w:val="24"/>
              <w:szCs w:val="24"/>
            </w:rPr>
            <w:fldChar w:fldCharType="separate"/>
          </w:r>
          <w:r>
            <w:rPr>
              <w:rFonts w:hint="eastAsia" w:ascii="黑体" w:hAnsi="黑体" w:eastAsia="黑体" w:cs="黑体"/>
              <w:sz w:val="24"/>
              <w:szCs w:val="24"/>
              <w:lang w:val="en-US" w:eastAsia="zh-CN"/>
            </w:rPr>
            <w:t>七、事故整改和防范措施</w:t>
          </w:r>
          <w:r>
            <w:rPr>
              <w:sz w:val="24"/>
              <w:szCs w:val="24"/>
            </w:rPr>
            <w:tab/>
          </w:r>
          <w:r>
            <w:rPr>
              <w:sz w:val="24"/>
              <w:szCs w:val="24"/>
            </w:rPr>
            <w:fldChar w:fldCharType="begin"/>
          </w:r>
          <w:r>
            <w:rPr>
              <w:sz w:val="24"/>
              <w:szCs w:val="24"/>
            </w:rPr>
            <w:instrText xml:space="preserve"> PAGEREF _Toc31109 \h </w:instrText>
          </w:r>
          <w:r>
            <w:rPr>
              <w:sz w:val="24"/>
              <w:szCs w:val="24"/>
            </w:rPr>
            <w:fldChar w:fldCharType="separate"/>
          </w:r>
          <w:r>
            <w:rPr>
              <w:sz w:val="24"/>
              <w:szCs w:val="24"/>
            </w:rPr>
            <w:t>8</w:t>
          </w:r>
          <w:r>
            <w:rPr>
              <w:sz w:val="24"/>
              <w:szCs w:val="24"/>
            </w:rPr>
            <w:fldChar w:fldCharType="end"/>
          </w:r>
          <w:r>
            <w:rPr>
              <w:sz w:val="24"/>
              <w:szCs w:val="24"/>
            </w:rPr>
            <w:fldChar w:fldCharType="end"/>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宋体" w:hAnsi="宋体" w:eastAsia="宋体" w:cstheme="minorBidi"/>
              <w:b/>
              <w:kern w:val="2"/>
              <w:sz w:val="24"/>
              <w:szCs w:val="24"/>
              <w:lang w:val="en-US" w:eastAsia="zh-CN" w:bidi="ar-SA"/>
            </w:rPr>
          </w:pPr>
          <w:r>
            <w:rPr>
              <w:sz w:val="24"/>
              <w:szCs w:val="24"/>
            </w:rPr>
            <w:fldChar w:fldCharType="end"/>
          </w:r>
        </w:p>
      </w:sdtContent>
    </w:sdt>
    <w:p>
      <w:pPr>
        <w:pStyle w:val="2"/>
      </w:pPr>
    </w:p>
    <w:p>
      <w:pPr>
        <w:bidi w:val="0"/>
      </w:pPr>
    </w:p>
    <w:p>
      <w:pPr>
        <w:tabs>
          <w:tab w:val="left" w:pos="2246"/>
        </w:tabs>
        <w:bidi w:val="0"/>
        <w:jc w:val="left"/>
        <w:rPr>
          <w:rFonts w:hint="eastAsia"/>
          <w:lang w:eastAsia="zh-CN"/>
        </w:rPr>
      </w:pPr>
      <w:r>
        <w:rPr>
          <w:rFonts w:hint="eastAsia"/>
          <w:lang w:eastAsia="zh-CN"/>
        </w:rPr>
        <w:tab/>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sectPr>
          <w:pgSz w:w="11906" w:h="16838"/>
          <w:pgMar w:top="2154" w:right="1304" w:bottom="1984" w:left="1587" w:header="851" w:footer="992" w:gutter="0"/>
          <w:pgNumType w:fmt="decimal"/>
          <w:cols w:space="425" w:num="1"/>
          <w:docGrid w:type="lines" w:linePitch="312" w:charSpace="0"/>
        </w:sectPr>
      </w:pPr>
      <w:bookmarkStart w:id="22" w:name="_Toc4015"/>
      <w:bookmarkStart w:id="23" w:name="_Toc17515"/>
      <w:bookmarkStart w:id="24" w:name="_Toc6843"/>
      <w:bookmarkStart w:id="25" w:name="_Toc29949"/>
      <w:bookmarkStart w:id="26" w:name="_Toc443"/>
      <w:bookmarkStart w:id="27" w:name="_Toc2375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28" w:name="_Toc27045"/>
      <w:bookmarkStart w:id="29" w:name="_Toc5749"/>
      <w:bookmarkStart w:id="30" w:name="_Toc2117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31" w:name="_Toc8797"/>
      <w:bookmarkStart w:id="32" w:name="_Toc7873"/>
      <w:bookmarkStart w:id="33" w:name="_Toc31504"/>
      <w:bookmarkStart w:id="34" w:name="_Toc5156"/>
      <w:bookmarkStart w:id="35" w:name="_Toc14782"/>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青山青山镇武汉港申船务有限公司</w:t>
      </w:r>
      <w:bookmarkEnd w:id="31"/>
      <w:bookmarkEnd w:id="32"/>
      <w:bookmarkStart w:id="36" w:name="_Toc3185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37" w:name="_Toc32763"/>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“3·6”一般物体打击事故调查报告</w:t>
      </w:r>
      <w:bookmarkEnd w:id="36"/>
      <w:bookmarkEnd w:id="37"/>
    </w:p>
    <w:bookmarkEnd w:id="22"/>
    <w:bookmarkEnd w:id="23"/>
    <w:bookmarkEnd w:id="24"/>
    <w:bookmarkEnd w:id="25"/>
    <w:bookmarkEnd w:id="26"/>
    <w:bookmarkEnd w:id="27"/>
    <w:bookmarkEnd w:id="28"/>
    <w:bookmarkEnd w:id="29"/>
    <w:bookmarkEnd w:id="30"/>
    <w:bookmarkEnd w:id="33"/>
    <w:bookmarkEnd w:id="34"/>
    <w:bookmarkEnd w:id="35"/>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bookmarkStart w:id="38" w:name="_Toc5241"/>
      <w:bookmarkStart w:id="39" w:name="_Toc17177"/>
      <w:bookmarkStart w:id="40" w:name="_Toc10567"/>
      <w:bookmarkStart w:id="41" w:name="_Toc12452"/>
      <w:bookmarkStart w:id="42" w:name="_Toc3179"/>
      <w:r>
        <w:rPr>
          <w:rFonts w:hint="eastAsia" w:ascii="宋体" w:hAnsi="宋体" w:eastAsia="宋体" w:cs="宋体"/>
          <w:color w:val="000000" w:themeColor="text1"/>
          <w:sz w:val="32"/>
          <w:szCs w:val="32"/>
          <w:lang w:val="en-US" w:eastAsia="zh-CN"/>
          <w14:textFill>
            <w14:solidFill>
              <w14:schemeClr w14:val="tx1"/>
            </w14:solidFill>
          </w14:textFill>
        </w:rPr>
        <w:t>2025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日，武汉港申船务有限公司位于青山镇街道辖区内的船舶修理厂发生一起物体打击事故，造成</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人死亡，直接经济损失</w:t>
      </w:r>
      <w:r>
        <w:rPr>
          <w:rFonts w:hint="eastAsia" w:ascii="宋体" w:hAnsi="宋体" w:eastAsia="宋体" w:cs="宋体"/>
          <w:color w:val="000000" w:themeColor="text1"/>
          <w:sz w:val="32"/>
          <w:szCs w:val="32"/>
          <w:lang w:val="en-US" w:eastAsia="zh-CN"/>
          <w14:textFill>
            <w14:solidFill>
              <w14:schemeClr w14:val="tx1"/>
            </w14:solidFill>
          </w14:textFill>
        </w:rPr>
        <w:t>140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万余元。</w:t>
      </w:r>
      <w:bookmarkEnd w:id="38"/>
      <w:bookmarkEnd w:id="39"/>
      <w:bookmarkEnd w:id="40"/>
      <w:bookmarkEnd w:id="41"/>
      <w:bookmarkEnd w:id="4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依据《中华人民共和国安全生产法》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以下简称“安全生产法”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《生产安全事故报告和调查处理条例》（国务院令第</w:t>
      </w:r>
      <w:r>
        <w:rPr>
          <w:rFonts w:hint="eastAsia" w:ascii="宋体" w:hAnsi="宋体" w:eastAsia="宋体" w:cs="宋体"/>
          <w:color w:val="000000" w:themeColor="text1"/>
          <w:sz w:val="32"/>
          <w:szCs w:val="32"/>
          <w:lang w:val="en-US" w:eastAsia="zh-CN"/>
          <w14:textFill>
            <w14:solidFill>
              <w14:schemeClr w14:val="tx1"/>
            </w14:solidFill>
          </w14:textFill>
        </w:rPr>
        <w:t>493</w:t>
      </w:r>
      <w:r>
        <w:rPr>
          <w:rFonts w:hint="eastAsia" w:ascii="仿宋_GB2312" w:hAnsi="仿宋_GB2312" w:eastAsia="仿宋_GB2312" w:cs="仿宋_GB2312"/>
          <w:color w:val="000000" w:themeColor="text1"/>
          <w:sz w:val="32"/>
          <w:szCs w:val="32"/>
          <w14:textFill>
            <w14:solidFill>
              <w14:schemeClr w14:val="tx1"/>
            </w14:solidFill>
          </w14:textFill>
        </w:rPr>
        <w:t>号）、《湖北省生产安全事故报告和调查处理办法》（省政府令第</w:t>
      </w:r>
      <w:r>
        <w:rPr>
          <w:rFonts w:hint="eastAsia" w:ascii="宋体" w:hAnsi="宋体" w:eastAsia="宋体" w:cs="宋体"/>
          <w:color w:val="000000" w:themeColor="text1"/>
          <w:sz w:val="32"/>
          <w:szCs w:val="32"/>
          <w:lang w:val="en-US" w:eastAsia="zh-CN"/>
          <w14:textFill>
            <w14:solidFill>
              <w14:schemeClr w14:val="tx1"/>
            </w14:solidFill>
          </w14:textFill>
        </w:rPr>
        <w:t>354</w:t>
      </w:r>
      <w:r>
        <w:rPr>
          <w:rFonts w:hint="eastAsia" w:ascii="仿宋_GB2312" w:hAnsi="仿宋_GB2312" w:eastAsia="仿宋_GB2312" w:cs="仿宋_GB2312"/>
          <w:color w:val="000000" w:themeColor="text1"/>
          <w:sz w:val="32"/>
          <w:szCs w:val="32"/>
          <w14:textFill>
            <w14:solidFill>
              <w14:schemeClr w14:val="tx1"/>
            </w14:solidFill>
          </w14:textFill>
        </w:rPr>
        <w:t>号）等有关法律法规规定，青山区人民政府成立由</w:t>
      </w:r>
      <w:r>
        <w:rPr>
          <w:rFonts w:hint="eastAsia" w:ascii="仿宋_GB2312" w:hAnsi="仿宋_GB2312" w:eastAsia="仿宋_GB2312" w:cs="仿宋_GB2312"/>
          <w:b w:val="0"/>
          <w:bCs/>
          <w:sz w:val="32"/>
          <w:szCs w:val="32"/>
          <w:lang w:val="en-US" w:eastAsia="zh-CN"/>
        </w:rPr>
        <w:t>区应急管理局、长江航运公安局武汉分局、武汉青山海事处、武汉市交通运输局水路执法大队、区经科局、区城管执法局、区总工会、青山镇街道办事处</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单位组成的</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3·6</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一般物体打击事故</w:t>
      </w:r>
      <w:r>
        <w:rPr>
          <w:rFonts w:hint="eastAsia" w:ascii="仿宋_GB2312" w:hAnsi="仿宋_GB2312" w:eastAsia="仿宋_GB2312" w:cs="仿宋_GB2312"/>
          <w:color w:val="000000" w:themeColor="text1"/>
          <w:sz w:val="32"/>
          <w:szCs w:val="32"/>
          <w14:textFill>
            <w14:solidFill>
              <w14:schemeClr w14:val="tx1"/>
            </w14:solidFill>
          </w14:textFill>
        </w:rPr>
        <w:t>调查组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以下简称事故调查组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kern w:val="2"/>
          <w:sz w:val="32"/>
          <w:lang w:val="en-US" w:eastAsia="zh-CN" w:bidi="ar-SA"/>
          <w14:textFill>
            <w14:solidFill>
              <w14:schemeClr w14:val="tx1"/>
            </w14:solidFill>
          </w14:textFill>
        </w:rPr>
        <w:t>并邀请区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纪委监委、区检察院</w:t>
      </w:r>
      <w:r>
        <w:rPr>
          <w:rFonts w:hint="eastAsia" w:ascii="仿宋_GB2312" w:hAnsi="仿宋_GB2312" w:eastAsia="仿宋_GB2312" w:cs="仿宋_GB2312"/>
          <w:b w:val="0"/>
          <w:bCs/>
          <w:sz w:val="32"/>
          <w:szCs w:val="32"/>
          <w:lang w:val="en-US" w:eastAsia="zh-CN"/>
        </w:rPr>
        <w:t>有关部门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参加</w:t>
      </w:r>
      <w:r>
        <w:rPr>
          <w:rFonts w:hint="eastAsia" w:ascii="仿宋_GB2312" w:hAnsi="仿宋_GB2312" w:eastAsia="仿宋_GB2312" w:cs="仿宋_GB2312"/>
          <w:color w:val="000000" w:themeColor="text1"/>
          <w:kern w:val="2"/>
          <w:sz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对事故展开调查。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事故调查组按照“科学严谨、依法依规、实事求是、注重实效”和“四不放过”的原则，通过现场勘验、调查取证、人员询问和综合分析，查清了事故发生的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主要</w:t>
      </w:r>
      <w:r>
        <w:rPr>
          <w:rFonts w:hint="eastAsia" w:ascii="仿宋_GB2312" w:hAnsi="仿宋_GB2312" w:eastAsia="仿宋_GB2312" w:cs="仿宋_GB2312"/>
          <w:color w:val="000000" w:themeColor="text1"/>
          <w:sz w:val="32"/>
          <w:szCs w:val="32"/>
          <w14:textFill>
            <w14:solidFill>
              <w14:schemeClr w14:val="tx1"/>
            </w14:solidFill>
          </w14:textFill>
        </w:rPr>
        <w:t>经过、原因、人员伤亡和财产损失情况，认定了事故的性质和事故责任，提出了对有关责任人员及责任单位的处理建议和事故防范措施建议。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经调查认定，青山青山镇武汉港申船务有限公司“</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”一般物体打击事故是一起因作业单位无资质组织作业，从业人员违章冒险作业以及现场安全管理不到位而造成的一般生产安全责任事故。</w:t>
      </w:r>
    </w:p>
    <w:p>
      <w:pPr>
        <w:pStyle w:val="5"/>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楷体_GB2312" w:hAnsi="楷体_GB2312" w:eastAsia="楷体_GB2312" w:cs="楷体_GB2312"/>
          <w:b/>
          <w:bCs/>
          <w:sz w:val="32"/>
          <w:szCs w:val="32"/>
          <w:lang w:val="en-US" w:eastAsia="zh-CN"/>
        </w:rPr>
      </w:pPr>
      <w:bookmarkStart w:id="43" w:name="_Toc29930"/>
      <w:r>
        <w:rPr>
          <w:rFonts w:hint="eastAsia" w:ascii="黑体" w:hAnsi="黑体" w:eastAsia="黑体" w:cs="黑体"/>
          <w:sz w:val="32"/>
          <w:szCs w:val="32"/>
          <w:lang w:val="en-US" w:eastAsia="zh-CN"/>
        </w:rPr>
        <w:t>一、事故基本情况</w:t>
      </w:r>
      <w:bookmarkEnd w:id="43"/>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44" w:name="_Toc28704"/>
      <w:r>
        <w:rPr>
          <w:rFonts w:hint="eastAsia" w:ascii="楷体_GB2312" w:hAnsi="楷体_GB2312" w:eastAsia="楷体_GB2312" w:cs="楷体_GB2312"/>
          <w:b/>
          <w:bCs/>
          <w:sz w:val="32"/>
          <w:szCs w:val="32"/>
          <w:lang w:val="en-US" w:eastAsia="zh-CN"/>
        </w:rPr>
        <w:t>（一）事故发生单位及相关单位概况</w:t>
      </w:r>
      <w:bookmarkEnd w:id="44"/>
    </w:p>
    <w:p>
      <w:pPr>
        <w:pStyle w:val="2"/>
        <w:keepNext w:val="0"/>
        <w:keepLines w:val="0"/>
        <w:pageBreakBefore w:val="0"/>
        <w:widowControl w:val="0"/>
        <w:numPr>
          <w:ilvl w:val="0"/>
          <w:numId w:val="0"/>
        </w:numPr>
        <w:kinsoku/>
        <w:wordWrap/>
        <w:overflowPunct/>
        <w:autoSpaceDE/>
        <w:autoSpaceDN/>
        <w:bidi w:val="0"/>
        <w:spacing w:line="560" w:lineRule="exact"/>
        <w:ind w:firstLine="642" w:firstLineChars="200"/>
        <w:jc w:val="both"/>
        <w:textAlignment w:val="auto"/>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.自然人郭某。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系</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废旧</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水泥趸船拆解作业组织者。</w:t>
      </w:r>
    </w:p>
    <w:p>
      <w:pPr>
        <w:pStyle w:val="2"/>
        <w:keepNext w:val="0"/>
        <w:keepLines w:val="0"/>
        <w:pageBreakBefore w:val="0"/>
        <w:widowControl w:val="0"/>
        <w:numPr>
          <w:ilvl w:val="0"/>
          <w:numId w:val="0"/>
        </w:numPr>
        <w:kinsoku/>
        <w:wordWrap/>
        <w:overflowPunct/>
        <w:autoSpaceDE/>
        <w:autoSpaceDN/>
        <w:bidi w:val="0"/>
        <w:spacing w:line="560" w:lineRule="exact"/>
        <w:ind w:firstLine="642"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.武汉港申船务有限公司。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统一信用代码：</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91420102666768649</w:t>
      </w:r>
      <w:r>
        <w:rPr>
          <w:rFonts w:hint="default" w:ascii="Times New Roman" w:hAnsi="Times New Roman" w:eastAsia="宋体" w:cs="Times New Roman"/>
          <w:color w:val="000000" w:themeColor="text1"/>
          <w:kern w:val="2"/>
          <w:sz w:val="32"/>
          <w:szCs w:val="32"/>
          <w:u w:val="none"/>
          <w:lang w:val="en-US" w:eastAsia="zh-CN" w:bidi="ar-SA"/>
          <w14:textFill>
            <w14:solidFill>
              <w14:schemeClr w14:val="tx1"/>
            </w14:solidFill>
          </w14:textFill>
        </w:rPr>
        <w:t>T</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型为有限责任公司(自然人投资或控股的法人独资)，成立于</w:t>
      </w:r>
      <w:r>
        <w:rPr>
          <w:rFonts w:hint="eastAsia" w:ascii="宋体" w:hAnsi="宋体" w:eastAsia="宋体" w:cs="宋体"/>
          <w:color w:val="000000" w:themeColor="text1"/>
          <w:sz w:val="32"/>
          <w:szCs w:val="32"/>
          <w:lang w:val="en-US" w:eastAsia="zh-CN"/>
          <w14:textFill>
            <w14:solidFill>
              <w14:schemeClr w14:val="tx1"/>
            </w14:solidFill>
          </w14:textFill>
        </w:rPr>
        <w:t>2007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日，住所为武汉市江岸区沿江大道</w:t>
      </w:r>
      <w:r>
        <w:rPr>
          <w:rFonts w:hint="eastAsia" w:ascii="宋体" w:hAnsi="宋体" w:eastAsia="宋体" w:cs="宋体"/>
          <w:color w:val="000000" w:themeColor="text1"/>
          <w:sz w:val="32"/>
          <w:szCs w:val="32"/>
          <w:lang w:val="en-US" w:eastAsia="zh-CN"/>
          <w14:textFill>
            <w14:solidFill>
              <w14:schemeClr w14:val="tx1"/>
            </w14:solidFill>
          </w14:textFill>
        </w:rPr>
        <w:t>145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号，经营范围：水运辅助；船舶租赁；港务管理；港口设备及场地出租，建筑材料销售；长江中下游干线及支流省际普通货船运输等。</w:t>
      </w: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45" w:name="_Toc1550"/>
      <w:r>
        <w:rPr>
          <w:rFonts w:hint="eastAsia" w:ascii="楷体_GB2312" w:hAnsi="楷体_GB2312" w:eastAsia="楷体_GB2312" w:cs="楷体_GB2312"/>
          <w:b/>
          <w:bCs/>
          <w:sz w:val="32"/>
          <w:szCs w:val="32"/>
          <w:lang w:val="en-US" w:eastAsia="zh-CN"/>
        </w:rPr>
        <w:t>（二）事故发生单位安全管理情况</w:t>
      </w:r>
      <w:bookmarkEnd w:id="45"/>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自然人郭某在不具</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备拆解船舶的相关资质的情况下组织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人员实施</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废旧水泥趸船拆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解作业，存在安全教育培训不到位情况。</w:t>
      </w: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46" w:name="_Toc1985"/>
      <w:r>
        <w:rPr>
          <w:rFonts w:hint="eastAsia" w:ascii="楷体_GB2312" w:hAnsi="楷体_GB2312" w:eastAsia="楷体_GB2312" w:cs="楷体_GB2312"/>
          <w:b/>
          <w:bCs/>
          <w:sz w:val="32"/>
          <w:szCs w:val="32"/>
          <w:lang w:val="en-US" w:eastAsia="zh-CN"/>
        </w:rPr>
        <w:t>（三）事故发生经过</w:t>
      </w:r>
      <w:bookmarkEnd w:id="46"/>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2025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日，郭某组织李某生、张某林、陈某平、李某洲和刘某忠到武汉港申船务有限公司（以下简称“港申船务公司”）船舶修理厂船坞对一艘废旧水泥</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趸船进行拆解作业（期间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李某生负责使用氧气切割拆解船尾，张某林、陈某平负责拆解中部，李某洲负责拆解船头，刘某忠负责打下手</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15</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时</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40</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分许，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刘某忠</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发现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李某生面部朝上躺在已拆卸的甲板上，头部左前额被绞盘砸出凹陷并伴有血流出，所佩戴的安全帽散落在附近。</w:t>
      </w: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47" w:name="_Toc27039"/>
      <w:r>
        <w:rPr>
          <w:rFonts w:hint="eastAsia" w:ascii="楷体_GB2312" w:hAnsi="楷体_GB2312" w:eastAsia="楷体_GB2312" w:cs="楷体_GB2312"/>
          <w:b/>
          <w:bCs/>
          <w:sz w:val="32"/>
          <w:szCs w:val="32"/>
          <w:lang w:val="en-US" w:eastAsia="zh-CN"/>
        </w:rPr>
        <w:t>（四）事故现场情况</w:t>
      </w:r>
      <w:bookmarkEnd w:id="47"/>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本次事故地点为港申船务公司船舶修理厂船坞内（图</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),事故现场照片（图</w:t>
      </w:r>
      <w:r>
        <w:rPr>
          <w:rFonts w:hint="eastAsia" w:ascii="宋体" w:hAnsi="宋体" w:eastAsia="宋体" w:cs="宋体"/>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，图</w:t>
      </w:r>
      <w:r>
        <w:rPr>
          <w:rFonts w:hint="eastAsia" w:ascii="宋体" w:hAnsi="宋体" w:eastAsia="宋体" w:cs="宋体"/>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pStyle w:val="7"/>
        <w:keepNext w:val="0"/>
        <w:keepLines w:val="0"/>
        <w:pageBreakBefore w:val="0"/>
        <w:widowControl w:val="0"/>
        <w:kinsoku/>
        <w:wordWrap/>
        <w:overflowPunct/>
        <w:autoSpaceDE/>
        <w:autoSpaceDN/>
        <w:bidi w:val="0"/>
        <w:spacing w:line="560" w:lineRule="exact"/>
        <w:ind w:left="0" w:leftChars="0" w:firstLine="0" w:firstLineChars="0"/>
        <w:jc w:val="center"/>
        <w:textAlignment w:val="auto"/>
        <w:outlineLvl w:val="1"/>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bookmarkStart w:id="48" w:name="_Toc5810"/>
      <w:bookmarkStart w:id="49" w:name="_Toc4825"/>
      <w:r>
        <w:drawing>
          <wp:anchor distT="0" distB="0" distL="114300" distR="114300" simplePos="0" relativeHeight="251659264" behindDoc="0" locked="0" layoutInCell="1" allowOverlap="1">
            <wp:simplePos x="0" y="0"/>
            <wp:positionH relativeFrom="column">
              <wp:posOffset>177800</wp:posOffset>
            </wp:positionH>
            <wp:positionV relativeFrom="paragraph">
              <wp:posOffset>5715</wp:posOffset>
            </wp:positionV>
            <wp:extent cx="5039995" cy="2520315"/>
            <wp:effectExtent l="0" t="0" r="8255" b="13335"/>
            <wp:wrapNone/>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7"/>
                    <a:stretch>
                      <a:fillRect/>
                    </a:stretch>
                  </pic:blipFill>
                  <pic:spPr>
                    <a:xfrm>
                      <a:off x="0" y="0"/>
                      <a:ext cx="5039995" cy="2520315"/>
                    </a:xfrm>
                    <a:prstGeom prst="rect">
                      <a:avLst/>
                    </a:prstGeom>
                    <a:noFill/>
                    <a:ln>
                      <a:noFill/>
                    </a:ln>
                  </pic:spPr>
                </pic:pic>
              </a:graphicData>
            </a:graphic>
          </wp:anchor>
        </w:drawing>
      </w:r>
    </w:p>
    <w:p>
      <w:pPr>
        <w:pStyle w:val="7"/>
        <w:keepNext w:val="0"/>
        <w:keepLines w:val="0"/>
        <w:pageBreakBefore w:val="0"/>
        <w:widowControl w:val="0"/>
        <w:kinsoku/>
        <w:wordWrap/>
        <w:overflowPunct/>
        <w:autoSpaceDE/>
        <w:autoSpaceDN/>
        <w:bidi w:val="0"/>
        <w:spacing w:line="560" w:lineRule="exact"/>
        <w:ind w:left="0" w:leftChars="0" w:firstLine="0" w:firstLineChars="0"/>
        <w:jc w:val="center"/>
        <w:textAlignment w:val="auto"/>
        <w:outlineLvl w:val="1"/>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p>
    <w:p>
      <w:pPr>
        <w:pStyle w:val="7"/>
        <w:keepNext w:val="0"/>
        <w:keepLines w:val="0"/>
        <w:pageBreakBefore w:val="0"/>
        <w:widowControl w:val="0"/>
        <w:kinsoku/>
        <w:wordWrap/>
        <w:overflowPunct/>
        <w:autoSpaceDE/>
        <w:autoSpaceDN/>
        <w:bidi w:val="0"/>
        <w:spacing w:line="560" w:lineRule="exact"/>
        <w:ind w:left="0" w:leftChars="0" w:firstLine="0" w:firstLineChars="0"/>
        <w:jc w:val="center"/>
        <w:textAlignment w:val="auto"/>
        <w:outlineLvl w:val="1"/>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p>
    <w:p>
      <w:pPr>
        <w:pStyle w:val="7"/>
        <w:keepNext w:val="0"/>
        <w:keepLines w:val="0"/>
        <w:pageBreakBefore w:val="0"/>
        <w:widowControl w:val="0"/>
        <w:kinsoku/>
        <w:wordWrap/>
        <w:overflowPunct/>
        <w:autoSpaceDE/>
        <w:autoSpaceDN/>
        <w:bidi w:val="0"/>
        <w:spacing w:line="560" w:lineRule="exact"/>
        <w:ind w:left="0" w:leftChars="0" w:firstLine="0" w:firstLineChars="0"/>
        <w:jc w:val="center"/>
        <w:textAlignment w:val="auto"/>
        <w:outlineLvl w:val="1"/>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p>
    <w:p>
      <w:pPr>
        <w:pStyle w:val="7"/>
        <w:keepNext w:val="0"/>
        <w:keepLines w:val="0"/>
        <w:pageBreakBefore w:val="0"/>
        <w:widowControl w:val="0"/>
        <w:kinsoku/>
        <w:wordWrap/>
        <w:overflowPunct/>
        <w:autoSpaceDE/>
        <w:autoSpaceDN/>
        <w:bidi w:val="0"/>
        <w:spacing w:line="560" w:lineRule="exact"/>
        <w:ind w:left="0" w:leftChars="0" w:firstLine="0" w:firstLineChars="0"/>
        <w:jc w:val="center"/>
        <w:textAlignment w:val="auto"/>
        <w:outlineLvl w:val="1"/>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p>
    <w:p>
      <w:pPr>
        <w:pStyle w:val="2"/>
        <w:ind w:left="0" w:leftChars="0" w:firstLine="0" w:firstLineChars="0"/>
        <w:rPr>
          <w:rFonts w:hint="eastAsia"/>
          <w:lang w:val="en-US" w:eastAsia="zh-CN"/>
        </w:rPr>
      </w:pPr>
    </w:p>
    <w:p>
      <w:pPr>
        <w:pStyle w:val="7"/>
        <w:keepNext w:val="0"/>
        <w:keepLines w:val="0"/>
        <w:pageBreakBefore w:val="0"/>
        <w:widowControl w:val="0"/>
        <w:kinsoku/>
        <w:wordWrap/>
        <w:overflowPunct/>
        <w:autoSpaceDE/>
        <w:autoSpaceDN/>
        <w:bidi w:val="0"/>
        <w:spacing w:line="560" w:lineRule="exact"/>
        <w:ind w:left="0" w:leftChars="0" w:firstLine="0" w:firstLineChars="0"/>
        <w:jc w:val="both"/>
        <w:textAlignment w:val="auto"/>
        <w:outlineLvl w:val="1"/>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eastAsia" w:ascii="楷体_GB2312" w:hAnsi="楷体_GB2312" w:eastAsia="楷体_GB2312" w:cs="楷体_GB2312"/>
          <w:b/>
          <w:bCs/>
          <w:sz w:val="32"/>
          <w:szCs w:val="32"/>
          <w:lang w:val="en-US" w:eastAsia="zh-CN"/>
        </w:rPr>
      </w:pPr>
      <w:bookmarkStart w:id="50" w:name="_Toc17134"/>
      <w:bookmarkStart w:id="51" w:name="_Toc27866"/>
      <w:bookmarkStart w:id="52" w:name="_Toc8142"/>
      <w:bookmarkStart w:id="53" w:name="_Toc28817"/>
      <w:r>
        <w:drawing>
          <wp:anchor distT="0" distB="0" distL="114300" distR="114300" simplePos="0" relativeHeight="251660288" behindDoc="0" locked="0" layoutInCell="1" allowOverlap="1">
            <wp:simplePos x="0" y="0"/>
            <wp:positionH relativeFrom="column">
              <wp:posOffset>193040</wp:posOffset>
            </wp:positionH>
            <wp:positionV relativeFrom="paragraph">
              <wp:posOffset>348615</wp:posOffset>
            </wp:positionV>
            <wp:extent cx="5039995" cy="2520315"/>
            <wp:effectExtent l="0" t="0" r="8255" b="13335"/>
            <wp:wrapNone/>
            <wp:docPr id="5" name="图片 2"/>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8"/>
                    <a:srcRect l="262" t="20755" r="274" b="-633"/>
                    <a:stretch>
                      <a:fillRect/>
                    </a:stretch>
                  </pic:blipFill>
                  <pic:spPr>
                    <a:xfrm>
                      <a:off x="0" y="0"/>
                      <a:ext cx="5039995" cy="2520315"/>
                    </a:xfrm>
                    <a:prstGeom prst="rect">
                      <a:avLst/>
                    </a:prstGeom>
                    <a:noFill/>
                    <a:ln>
                      <a:noFill/>
                    </a:ln>
                  </pic:spPr>
                </pic:pic>
              </a:graphicData>
            </a:graphic>
          </wp:anchor>
        </w:drawing>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图</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发生事故船坞照片</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w:t>
      </w:r>
      <w:bookmarkEnd w:id="48"/>
      <w:bookmarkEnd w:id="49"/>
      <w:bookmarkEnd w:id="50"/>
      <w:bookmarkEnd w:id="51"/>
      <w:bookmarkEnd w:id="52"/>
      <w:bookmarkEnd w:id="53"/>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p>
    <w:p>
      <w:pPr>
        <w:keepNext w:val="0"/>
        <w:keepLines w:val="0"/>
        <w:pageBreakBefore w:val="0"/>
        <w:widowControl w:val="0"/>
        <w:kinsoku/>
        <w:wordWrap/>
        <w:overflowPunct/>
        <w:autoSpaceDE/>
        <w:autoSpaceDN/>
        <w:bidi w:val="0"/>
        <w:spacing w:line="560" w:lineRule="exact"/>
        <w:jc w:val="both"/>
        <w:textAlignment w:val="auto"/>
        <w:rPr>
          <w:rFonts w:hint="eastAsia" w:ascii="楷体_GB2312" w:hAnsi="楷体_GB2312" w:eastAsia="楷体_GB2312" w:cs="楷体_GB2312"/>
          <w:b/>
          <w:bCs/>
          <w:sz w:val="32"/>
          <w:szCs w:val="32"/>
          <w:lang w:val="en-US" w:eastAsia="zh-CN"/>
        </w:rPr>
      </w:pPr>
    </w:p>
    <w:p>
      <w:pPr>
        <w:pStyle w:val="2"/>
        <w:keepNext w:val="0"/>
        <w:keepLines w:val="0"/>
        <w:pageBreakBefore w:val="0"/>
        <w:widowControl w:val="0"/>
        <w:kinsoku/>
        <w:wordWrap/>
        <w:overflowPunct/>
        <w:autoSpaceDE/>
        <w:autoSpaceDN/>
        <w:bidi w:val="0"/>
        <w:spacing w:line="560" w:lineRule="exact"/>
        <w:jc w:val="both"/>
        <w:textAlignment w:val="auto"/>
        <w:rPr>
          <w:rFonts w:hint="eastAsia" w:ascii="楷体_GB2312" w:hAnsi="楷体_GB2312" w:eastAsia="楷体_GB2312" w:cs="楷体_GB2312"/>
          <w:b/>
          <w:bCs/>
          <w:sz w:val="32"/>
          <w:szCs w:val="32"/>
          <w:lang w:val="en-US" w:eastAsia="zh-CN"/>
        </w:rPr>
      </w:pPr>
    </w:p>
    <w:p>
      <w:pPr>
        <w:pStyle w:val="2"/>
        <w:keepNext w:val="0"/>
        <w:keepLines w:val="0"/>
        <w:pageBreakBefore w:val="0"/>
        <w:widowControl w:val="0"/>
        <w:kinsoku/>
        <w:wordWrap/>
        <w:overflowPunct/>
        <w:autoSpaceDE/>
        <w:autoSpaceDN/>
        <w:bidi w:val="0"/>
        <w:spacing w:line="560" w:lineRule="exact"/>
        <w:jc w:val="both"/>
        <w:textAlignment w:val="auto"/>
        <w:rPr>
          <w:rFonts w:hint="eastAsia" w:ascii="楷体_GB2312" w:hAnsi="楷体_GB2312" w:eastAsia="楷体_GB2312" w:cs="楷体_GB2312"/>
          <w:b/>
          <w:bCs/>
          <w:sz w:val="32"/>
          <w:szCs w:val="32"/>
          <w:lang w:val="en-US" w:eastAsia="zh-CN"/>
        </w:rPr>
      </w:pPr>
    </w:p>
    <w:p>
      <w:pPr>
        <w:pStyle w:val="2"/>
        <w:keepNext w:val="0"/>
        <w:keepLines w:val="0"/>
        <w:pageBreakBefore w:val="0"/>
        <w:widowControl w:val="0"/>
        <w:kinsoku/>
        <w:wordWrap/>
        <w:overflowPunct/>
        <w:autoSpaceDE/>
        <w:autoSpaceDN/>
        <w:bidi w:val="0"/>
        <w:spacing w:line="560" w:lineRule="exact"/>
        <w:jc w:val="both"/>
        <w:textAlignment w:val="auto"/>
        <w:rPr>
          <w:rFonts w:hint="eastAsia" w:ascii="楷体_GB2312" w:hAnsi="楷体_GB2312" w:eastAsia="楷体_GB2312" w:cs="楷体_GB2312"/>
          <w:b/>
          <w:bCs/>
          <w:sz w:val="32"/>
          <w:szCs w:val="32"/>
          <w:lang w:val="en-US" w:eastAsia="zh-CN"/>
        </w:rPr>
      </w:pPr>
    </w:p>
    <w:p>
      <w:pPr>
        <w:pStyle w:val="2"/>
        <w:keepNext w:val="0"/>
        <w:keepLines w:val="0"/>
        <w:pageBreakBefore w:val="0"/>
        <w:widowControl w:val="0"/>
        <w:kinsoku/>
        <w:wordWrap/>
        <w:overflowPunct/>
        <w:autoSpaceDE/>
        <w:autoSpaceDN/>
        <w:bidi w:val="0"/>
        <w:spacing w:line="560" w:lineRule="exact"/>
        <w:jc w:val="both"/>
        <w:textAlignment w:val="auto"/>
        <w:rPr>
          <w:rFonts w:hint="eastAsia" w:ascii="楷体_GB2312" w:hAnsi="楷体_GB2312" w:eastAsia="楷体_GB2312" w:cs="楷体_GB2312"/>
          <w:b/>
          <w:bCs/>
          <w:sz w:val="32"/>
          <w:szCs w:val="32"/>
          <w:lang w:val="en-US" w:eastAsia="zh-CN"/>
        </w:rPr>
      </w:pPr>
    </w:p>
    <w:p>
      <w:pPr>
        <w:pStyle w:val="2"/>
        <w:keepNext w:val="0"/>
        <w:keepLines w:val="0"/>
        <w:pageBreakBefore w:val="0"/>
        <w:widowControl w:val="0"/>
        <w:kinsoku/>
        <w:wordWrap/>
        <w:overflowPunct/>
        <w:autoSpaceDE/>
        <w:autoSpaceDN/>
        <w:bidi w:val="0"/>
        <w:spacing w:line="560" w:lineRule="exact"/>
        <w:jc w:val="both"/>
        <w:textAlignment w:val="auto"/>
        <w:rPr>
          <w:rFonts w:hint="eastAsia" w:ascii="楷体_GB2312" w:hAnsi="楷体_GB2312" w:eastAsia="楷体_GB2312" w:cs="楷体_GB2312"/>
          <w:b/>
          <w:bCs/>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pPr>
      <w:bookmarkStart w:id="54" w:name="_Toc11086"/>
      <w:bookmarkStart w:id="55" w:name="_Toc15169"/>
      <w:bookmarkStart w:id="56" w:name="_Toc24791"/>
      <w:bookmarkStart w:id="57" w:name="_Toc31403"/>
      <w:bookmarkStart w:id="58" w:name="_Toc28755"/>
      <w:bookmarkStart w:id="59" w:name="_Toc19074"/>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图</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2-1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事故现场照片</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w:t>
      </w:r>
      <w:bookmarkEnd w:id="54"/>
      <w:bookmarkEnd w:id="55"/>
      <w:bookmarkEnd w:id="56"/>
      <w:bookmarkEnd w:id="57"/>
      <w:bookmarkEnd w:id="58"/>
      <w:bookmarkEnd w:id="59"/>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drawing>
          <wp:anchor distT="0" distB="0" distL="114300" distR="114300" simplePos="0" relativeHeight="251661312" behindDoc="0" locked="0" layoutInCell="1" allowOverlap="1">
            <wp:simplePos x="0" y="0"/>
            <wp:positionH relativeFrom="column">
              <wp:posOffset>717550</wp:posOffset>
            </wp:positionH>
            <wp:positionV relativeFrom="paragraph">
              <wp:posOffset>56515</wp:posOffset>
            </wp:positionV>
            <wp:extent cx="4140200" cy="3105785"/>
            <wp:effectExtent l="0" t="0" r="12700" b="18415"/>
            <wp:wrapNone/>
            <wp:docPr id="6" name="图片 6" descr="6fe854c32817e0afa8278200553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fe854c32817e0afa82782005534999"/>
                    <pic:cNvPicPr>
                      <a:picLocks noChangeAspect="1"/>
                    </pic:cNvPicPr>
                  </pic:nvPicPr>
                  <pic:blipFill>
                    <a:blip r:embed="rId9"/>
                    <a:stretch>
                      <a:fillRect/>
                    </a:stretch>
                  </pic:blipFill>
                  <pic:spPr>
                    <a:xfrm>
                      <a:off x="0" y="0"/>
                      <a:ext cx="4140200" cy="3105785"/>
                    </a:xfrm>
                    <a:prstGeom prst="rect">
                      <a:avLst/>
                    </a:prstGeom>
                  </pic:spPr>
                </pic:pic>
              </a:graphicData>
            </a:graphic>
          </wp:anchor>
        </w:drawing>
      </w: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bookmarkStart w:id="60" w:name="_Toc1007"/>
      <w:bookmarkStart w:id="61" w:name="_Toc26714"/>
    </w:p>
    <w:p>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1"/>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图</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2-2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事故现场照片</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w:t>
      </w:r>
      <w:bookmarkEnd w:id="60"/>
      <w:bookmarkEnd w:id="61"/>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62" w:name="_Toc17137"/>
      <w:r>
        <w:rPr>
          <w:rFonts w:hint="eastAsia" w:ascii="楷体_GB2312" w:hAnsi="楷体_GB2312" w:eastAsia="楷体_GB2312" w:cs="楷体_GB2312"/>
          <w:b/>
          <w:bCs/>
          <w:sz w:val="32"/>
          <w:szCs w:val="32"/>
          <w:lang w:val="en-US" w:eastAsia="zh-CN"/>
        </w:rPr>
        <w:t>（五）人员伤亡和直接经济损失情况</w:t>
      </w:r>
      <w:bookmarkEnd w:id="62"/>
    </w:p>
    <w:p>
      <w:pPr>
        <w:keepNext w:val="0"/>
        <w:keepLines w:val="0"/>
        <w:pageBreakBefore w:val="0"/>
        <w:widowControl w:val="0"/>
        <w:kinsoku/>
        <w:wordWrap/>
        <w:overflowPunct/>
        <w:autoSpaceDE/>
        <w:autoSpaceDN/>
        <w:bidi w:val="0"/>
        <w:spacing w:line="560" w:lineRule="exact"/>
        <w:ind w:firstLine="642"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.人员伤亡情况。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事故造成</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人死亡：李某生</w:t>
      </w:r>
      <w:r>
        <w:rPr>
          <w:rFonts w:hint="eastAsia" w:ascii="宋体" w:hAnsi="宋体" w:eastAsia="宋体" w:cs="宋体"/>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系郭某雇佣的水泥趸船拆解作业人员。</w:t>
      </w:r>
    </w:p>
    <w:p>
      <w:pPr>
        <w:keepNext w:val="0"/>
        <w:keepLines w:val="0"/>
        <w:pageBreakBefore w:val="0"/>
        <w:widowControl w:val="0"/>
        <w:kinsoku/>
        <w:wordWrap/>
        <w:overflowPunct/>
        <w:autoSpaceDE/>
        <w:autoSpaceDN/>
        <w:bidi w:val="0"/>
        <w:spacing w:line="560" w:lineRule="exact"/>
        <w:ind w:firstLine="642"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.事故损失情况。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事故造成直接经济损失为</w:t>
      </w:r>
      <w:r>
        <w:rPr>
          <w:rFonts w:hint="eastAsia" w:ascii="宋体" w:hAnsi="宋体" w:eastAsia="宋体" w:cs="宋体"/>
          <w:color w:val="000000" w:themeColor="text1"/>
          <w:sz w:val="32"/>
          <w:szCs w:val="32"/>
          <w:lang w:val="en-US" w:eastAsia="zh-CN"/>
          <w14:textFill>
            <w14:solidFill>
              <w14:schemeClr w14:val="tx1"/>
            </w14:solidFill>
          </w14:textFill>
        </w:rPr>
        <w:t>140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万余元。</w:t>
      </w: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63" w:name="_Toc10983"/>
      <w:r>
        <w:rPr>
          <w:rFonts w:hint="eastAsia" w:ascii="楷体_GB2312" w:hAnsi="楷体_GB2312" w:eastAsia="楷体_GB2312" w:cs="楷体_GB2312"/>
          <w:b/>
          <w:bCs/>
          <w:sz w:val="32"/>
          <w:szCs w:val="32"/>
          <w:lang w:val="en-US" w:eastAsia="zh-CN"/>
        </w:rPr>
        <w:t>（六）其他情况</w:t>
      </w:r>
      <w:bookmarkEnd w:id="63"/>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2025</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日，张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某</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明（甲方）与郭某（乙方）签订了《销售合同》，甲方将自有废弃趸船（长</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38</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米，宽</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8</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米，预估重量</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120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吨，自身无动力系统无法航行及作业）以</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208000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元的价格售于乙方，约定该船只能报废解体拆解废铁。</w:t>
      </w:r>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2025</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日，郭某（甲方）与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港申船务公司</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（乙方）签订了《船舶上下坞服务合同》，乙方将位于船舶修理厂的船坞提供给甲方使用，双方约定布墩费</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次（</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2000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），船舶上下坞一次（</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6000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），船舶在坞</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4000/</w:t>
      </w:r>
      <w:bookmarkStart w:id="83" w:name="_GoBack"/>
      <w:bookmarkEnd w:id="83"/>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天（根据实际天数结算），仅提供甲方船舶上下浮坞服务，工期为船舶于</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5</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日进厂至</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8</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日出厂。同日，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港申船务公司</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以船舶修理厂名义与郭某签订《安全协议书》，对船坞使用的有关安全事项进行明确，并安排废弃趸船进入船坞。</w:t>
      </w:r>
    </w:p>
    <w:p>
      <w:pPr>
        <w:pStyle w:val="5"/>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sz w:val="32"/>
          <w:szCs w:val="32"/>
          <w:lang w:val="en-US" w:eastAsia="zh-CN"/>
        </w:rPr>
      </w:pPr>
      <w:bookmarkStart w:id="64" w:name="_Toc4932"/>
      <w:r>
        <w:rPr>
          <w:rFonts w:hint="eastAsia" w:ascii="黑体" w:hAnsi="黑体" w:eastAsia="黑体" w:cs="黑体"/>
          <w:sz w:val="32"/>
          <w:szCs w:val="32"/>
          <w:lang w:val="en-US" w:eastAsia="zh-CN"/>
        </w:rPr>
        <w:t>二、事故应急处置及评估情况</w:t>
      </w:r>
      <w:bookmarkEnd w:id="64"/>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65" w:name="_Toc8992"/>
      <w:r>
        <w:rPr>
          <w:rFonts w:hint="eastAsia" w:ascii="楷体_GB2312" w:hAnsi="楷体_GB2312" w:eastAsia="楷体_GB2312" w:cs="楷体_GB2312"/>
          <w:b/>
          <w:bCs/>
          <w:sz w:val="32"/>
          <w:szCs w:val="32"/>
          <w:lang w:val="en-US" w:eastAsia="zh-CN"/>
        </w:rPr>
        <w:t>（一）事故信息接报及响应情况</w:t>
      </w:r>
      <w:bookmarkEnd w:id="65"/>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事故发生后，现场人员拨打</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120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急救电话。</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17</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时</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21</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分许，现场人员拨打</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110</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报警电话。</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17</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时</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41</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分许，区公安分局将事故有关情况上报至区委（区政府）总值班室。</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17</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时</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42</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分许，区应急管理局接区委（区政府）总值班室通报后迅速赶赴现场。</w:t>
      </w:r>
      <w:r>
        <w:rPr>
          <w:rFonts w:hint="eastAsia" w:ascii="仿宋_GB2312" w:hAnsi="仿宋_GB2312" w:eastAsia="仿宋_GB2312" w:cs="仿宋_GB2312"/>
          <w:b w:val="0"/>
          <w:bCs/>
          <w:sz w:val="32"/>
          <w:szCs w:val="32"/>
          <w:lang w:val="en-US" w:eastAsia="zh-CN"/>
        </w:rPr>
        <w:t>长江航运公安局武汉分局和青山镇街道办事处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接报后均立即组织人员赶赴现场。</w:t>
      </w: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66" w:name="_Toc23456"/>
      <w:r>
        <w:rPr>
          <w:rFonts w:hint="eastAsia" w:ascii="楷体_GB2312" w:hAnsi="楷体_GB2312" w:eastAsia="楷体_GB2312" w:cs="楷体_GB2312"/>
          <w:b/>
          <w:bCs/>
          <w:sz w:val="32"/>
          <w:szCs w:val="32"/>
          <w:lang w:val="en-US" w:eastAsia="zh-CN"/>
        </w:rPr>
        <w:t>（二）事故现场应急处置情况</w:t>
      </w:r>
      <w:bookmarkEnd w:id="66"/>
    </w:p>
    <w:p>
      <w:pPr>
        <w:pStyle w:val="7"/>
        <w:keepNext w:val="0"/>
        <w:keepLines w:val="0"/>
        <w:pageBreakBefore w:val="0"/>
        <w:widowControl w:val="0"/>
        <w:kinsoku/>
        <w:wordWrap/>
        <w:overflowPunct/>
        <w:autoSpaceDE/>
        <w:autoSpaceDN/>
        <w:bidi w:val="0"/>
        <w:spacing w:line="560" w:lineRule="exact"/>
        <w:ind w:left="0" w:leftChars="0" w:firstLine="640" w:firstLineChars="200"/>
        <w:jc w:val="both"/>
        <w:textAlignment w:val="auto"/>
        <w:outlineLvl w:val="1"/>
        <w:rPr>
          <w:rFonts w:hint="default" w:ascii="仿宋_GB2312" w:hAnsi="仿宋_GB2312" w:eastAsia="仿宋_GB2312" w:cs="仿宋_GB2312"/>
          <w:color w:val="000000" w:themeColor="text1"/>
          <w:sz w:val="32"/>
          <w:szCs w:val="32"/>
          <w:highlight w:val="yellow"/>
          <w:lang w:val="en-US" w:eastAsia="zh-CN"/>
          <w14:textFill>
            <w14:solidFill>
              <w14:schemeClr w14:val="tx1"/>
            </w14:solidFill>
          </w14:textFill>
        </w:rPr>
      </w:pPr>
      <w:bookmarkStart w:id="67" w:name="_Toc9987"/>
      <w:bookmarkStart w:id="68" w:name="_Toc8376"/>
      <w:bookmarkStart w:id="69" w:name="_Toc25668"/>
      <w:bookmarkStart w:id="70" w:name="_Toc4063"/>
      <w:bookmarkStart w:id="71" w:name="_Toc4365"/>
      <w:bookmarkStart w:id="72" w:name="_Toc28948"/>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事故发生后，现场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人员立即拨打</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急救电话并将趸船绞盘从李某生头部处搬离。</w:t>
      </w:r>
      <w:r>
        <w:rPr>
          <w:rFonts w:hint="eastAsia" w:ascii="宋体" w:hAnsi="宋体" w:eastAsia="宋体" w:cs="宋体"/>
          <w:color w:val="000000" w:themeColor="text1"/>
          <w:sz w:val="32"/>
          <w:szCs w:val="32"/>
          <w:lang w:val="en-US" w:eastAsia="zh-CN"/>
          <w14:textFill>
            <w14:solidFill>
              <w14:schemeClr w14:val="tx1"/>
            </w14:solidFill>
          </w14:textFill>
        </w:rPr>
        <w:t>16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01分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许，急救人员到达现场后对李某生进行头部包扎后送往武汉市普仁医院进行</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救治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17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分，李某</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生</w:t>
      </w:r>
      <w:r>
        <w:rPr>
          <w:rFonts w:hint="eastAsia" w:ascii="Times New Roman" w:hAnsi="Times New Roman" w:eastAsia="仿宋_GB2312" w:cs="Times New Roman"/>
          <w:color w:val="000000" w:themeColor="text1"/>
          <w:kern w:val="2"/>
          <w:sz w:val="32"/>
          <w:szCs w:val="32"/>
          <w:highlight w:val="none"/>
          <w:u w:val="none" w:color="auto"/>
          <w:lang w:val="en-US" w:eastAsia="zh-CN" w:bidi="ar-SA"/>
          <w14:textFill>
            <w14:solidFill>
              <w14:schemeClr w14:val="tx1"/>
            </w14:solidFill>
          </w14:textFill>
        </w:rPr>
        <w:t>经抢救无效死亡。</w:t>
      </w:r>
      <w:bookmarkEnd w:id="67"/>
      <w:bookmarkEnd w:id="68"/>
      <w:bookmarkEnd w:id="69"/>
      <w:bookmarkEnd w:id="70"/>
      <w:bookmarkEnd w:id="71"/>
      <w:bookmarkEnd w:id="72"/>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73" w:name="_Toc20045"/>
      <w:r>
        <w:rPr>
          <w:rFonts w:hint="eastAsia" w:ascii="楷体_GB2312" w:hAnsi="楷体_GB2312" w:eastAsia="楷体_GB2312" w:cs="楷体_GB2312"/>
          <w:b/>
          <w:bCs/>
          <w:sz w:val="32"/>
          <w:szCs w:val="32"/>
          <w:lang w:val="en-US" w:eastAsia="zh-CN"/>
        </w:rPr>
        <w:t>（三）事故应急处置评估</w:t>
      </w:r>
      <w:bookmarkEnd w:id="73"/>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经事故调查组对事故应急处置复盘评估认为，事故发生后</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急救中心、区应急管理局、</w:t>
      </w:r>
      <w:r>
        <w:rPr>
          <w:rFonts w:hint="eastAsia" w:ascii="仿宋_GB2312" w:hAnsi="仿宋_GB2312" w:eastAsia="仿宋_GB2312" w:cs="仿宋_GB2312"/>
          <w:b w:val="0"/>
          <w:bCs/>
          <w:sz w:val="32"/>
          <w:szCs w:val="32"/>
          <w:lang w:val="en-US" w:eastAsia="zh-CN"/>
        </w:rPr>
        <w:t>长江航运公安局武汉分局、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青山镇街道办事处等单位接报后，迅速组织人员赶赴现场处置，响应及时，分工明确，措施得当，处置稳妥，对相关信息报送及时准确，善后工作开展有序。</w:t>
      </w:r>
    </w:p>
    <w:p>
      <w:pPr>
        <w:pStyle w:val="5"/>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default" w:ascii="黑体" w:hAnsi="黑体" w:eastAsia="黑体" w:cs="黑体"/>
          <w:sz w:val="32"/>
          <w:szCs w:val="32"/>
          <w:lang w:val="en-US" w:eastAsia="zh-CN"/>
        </w:rPr>
      </w:pPr>
      <w:bookmarkStart w:id="74" w:name="_Toc3732"/>
      <w:r>
        <w:rPr>
          <w:rFonts w:hint="eastAsia" w:ascii="黑体" w:hAnsi="黑体" w:eastAsia="黑体" w:cs="黑体"/>
          <w:sz w:val="32"/>
          <w:szCs w:val="32"/>
          <w:lang w:val="en-US" w:eastAsia="zh-CN"/>
        </w:rPr>
        <w:t>三、事故原因分析</w:t>
      </w:r>
      <w:bookmarkEnd w:id="74"/>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75" w:name="_Toc29657"/>
      <w:r>
        <w:rPr>
          <w:rFonts w:hint="eastAsia" w:ascii="楷体_GB2312" w:hAnsi="楷体_GB2312" w:eastAsia="楷体_GB2312" w:cs="楷体_GB2312"/>
          <w:b/>
          <w:bCs/>
          <w:sz w:val="32"/>
          <w:szCs w:val="32"/>
          <w:lang w:val="en-US" w:eastAsia="zh-CN"/>
        </w:rPr>
        <w:t>（一）直接原因分析</w:t>
      </w:r>
      <w:bookmarkEnd w:id="75"/>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通过对事故现场进行勘察、对人员进行询问，认定事故的直接原因是：李某生安全意识淡薄，在不具备废旧船舶拆解专业技术的情况实施作业，被坠落的水泥趸船绞盘砸中头部导致受伤。</w:t>
      </w: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76" w:name="_Toc2034"/>
      <w:r>
        <w:rPr>
          <w:rFonts w:hint="eastAsia" w:ascii="楷体_GB2312" w:hAnsi="楷体_GB2312" w:eastAsia="楷体_GB2312" w:cs="楷体_GB2312"/>
          <w:b/>
          <w:bCs/>
          <w:sz w:val="32"/>
          <w:szCs w:val="32"/>
          <w:lang w:val="en-US" w:eastAsia="zh-CN"/>
        </w:rPr>
        <w:t>（二）间接原因分析</w:t>
      </w:r>
      <w:bookmarkEnd w:id="76"/>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.自然人郭某在不具</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备船舶拆解相关资质的情况下组织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人员实施</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废旧水泥趸船拆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解作业，雇佣人员存在违章作业行为。</w:t>
      </w:r>
    </w:p>
    <w:p>
      <w:pPr>
        <w:pStyle w:val="2"/>
        <w:keepNext w:val="0"/>
        <w:keepLines w:val="0"/>
        <w:pageBreakBefore w:val="0"/>
        <w:widowControl w:val="0"/>
        <w:kinsoku/>
        <w:wordWrap/>
        <w:overflowPunct/>
        <w:autoSpaceDE/>
        <w:autoSpaceDN/>
        <w:bidi w:val="0"/>
        <w:spacing w:line="560" w:lineRule="exact"/>
        <w:ind w:left="0" w:leftChars="0" w:firstLine="640" w:firstLineChars="200"/>
        <w:textAlignment w:val="auto"/>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2</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港申船务公</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司未有效落实对郭某</w:t>
      </w:r>
      <w:r>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的安全生产工作</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的统一</w:t>
      </w:r>
      <w:r>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协调管理</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p>
    <w:p>
      <w:pPr>
        <w:pStyle w:val="5"/>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sz w:val="32"/>
          <w:szCs w:val="32"/>
          <w:lang w:val="en-US" w:eastAsia="zh-CN"/>
        </w:rPr>
      </w:pPr>
      <w:bookmarkStart w:id="77" w:name="_Toc7518"/>
      <w:r>
        <w:rPr>
          <w:rFonts w:hint="eastAsia" w:ascii="黑体" w:hAnsi="黑体" w:eastAsia="黑体" w:cs="黑体"/>
          <w:sz w:val="32"/>
          <w:szCs w:val="32"/>
          <w:lang w:val="en-US" w:eastAsia="zh-CN"/>
        </w:rPr>
        <w:t>四、有关责任单位存在的问题</w:t>
      </w:r>
      <w:bookmarkEnd w:id="77"/>
    </w:p>
    <w:p>
      <w:pPr>
        <w:keepNext w:val="0"/>
        <w:keepLines w:val="0"/>
        <w:pageBreakBefore w:val="0"/>
        <w:widowControl w:val="0"/>
        <w:kinsoku/>
        <w:wordWrap/>
        <w:overflowPunct/>
        <w:autoSpaceDE/>
        <w:autoSpaceDN/>
        <w:bidi w:val="0"/>
        <w:spacing w:line="560" w:lineRule="exact"/>
        <w:ind w:firstLine="642"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.自然人郭某。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在不具</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备船舶拆解相关资质的情况下组织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人员实施</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废旧水泥趸船拆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解作业</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0"/>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；安全教育培训不到位，</w:t>
      </w:r>
      <w:r>
        <w:rPr>
          <w:rFonts w:hint="eastAsia" w:ascii="仿宋_GB2312" w:hAnsi="仿宋_GB2312" w:eastAsia="仿宋_GB2312" w:cs="仿宋_GB2312"/>
          <w:color w:val="auto"/>
          <w:sz w:val="32"/>
          <w:szCs w:val="32"/>
          <w:lang w:val="en-US" w:eastAsia="zh-CN"/>
        </w:rPr>
        <w:t>雇佣人员</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存在违章作业行为</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，存在事故迟报情况</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2"/>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pStyle w:val="2"/>
        <w:keepNext w:val="0"/>
        <w:keepLines w:val="0"/>
        <w:pageBreakBefore w:val="0"/>
        <w:widowControl w:val="0"/>
        <w:kinsoku/>
        <w:wordWrap/>
        <w:overflowPunct/>
        <w:autoSpaceDE/>
        <w:autoSpaceDN/>
        <w:bidi w:val="0"/>
        <w:spacing w:line="560" w:lineRule="exact"/>
        <w:ind w:left="0" w:leftChars="0" w:firstLine="642" w:firstLineChars="200"/>
        <w:textAlignment w:val="auto"/>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bCs/>
          <w:color w:val="000000" w:themeColor="text1"/>
          <w:kern w:val="2"/>
          <w:sz w:val="32"/>
          <w:szCs w:val="32"/>
          <w:u w:val="none"/>
          <w:lang w:val="en-US" w:eastAsia="zh-CN" w:bidi="ar-SA"/>
          <w14:textFill>
            <w14:solidFill>
              <w14:schemeClr w14:val="tx1"/>
            </w14:solidFill>
          </w14:textFill>
        </w:rPr>
        <w:t>2</w:t>
      </w:r>
      <w:r>
        <w:rPr>
          <w:rFonts w:hint="eastAsia" w:ascii="仿宋_GB2312" w:hAnsi="仿宋_GB2312" w:eastAsia="仿宋_GB2312" w:cs="仿宋_GB2312"/>
          <w:b/>
          <w:bCs/>
          <w:color w:val="000000" w:themeColor="text1"/>
          <w:kern w:val="2"/>
          <w:sz w:val="32"/>
          <w:szCs w:val="32"/>
          <w:u w:val="none"/>
          <w:lang w:val="en-US" w:eastAsia="zh-CN" w:bidi="ar-SA"/>
          <w14:textFill>
            <w14:solidFill>
              <w14:schemeClr w14:val="tx1"/>
            </w14:solidFill>
          </w14:textFill>
        </w:rPr>
        <w:t>.港申船务公司。</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未有效落实对承租单位</w:t>
      </w:r>
      <w:r>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的安全生产工作</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的统一</w:t>
      </w:r>
      <w:r>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协调管理</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3"/>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w:t>
      </w:r>
    </w:p>
    <w:p>
      <w:pPr>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color w:val="000000" w:themeColor="text1"/>
          <w:sz w:val="32"/>
          <w:szCs w:val="32"/>
          <w:lang w:val="en-US" w:eastAsia="zh-CN"/>
          <w14:textFill>
            <w14:solidFill>
              <w14:schemeClr w14:val="tx1"/>
            </w14:solidFill>
          </w14:textFill>
        </w:rPr>
      </w:pPr>
      <w:bookmarkStart w:id="78" w:name="_Toc20391"/>
      <w:r>
        <w:rPr>
          <w:rFonts w:hint="eastAsia" w:ascii="黑体" w:hAnsi="黑体" w:eastAsia="黑体" w:cs="黑体"/>
          <w:color w:val="000000" w:themeColor="text1"/>
          <w:sz w:val="32"/>
          <w:szCs w:val="32"/>
          <w:lang w:val="en-US" w:eastAsia="zh-CN"/>
          <w14:textFill>
            <w14:solidFill>
              <w14:schemeClr w14:val="tx1"/>
            </w14:solidFill>
          </w14:textFill>
        </w:rPr>
        <w:t>五、对有关责任人员和责任单位的处理建议</w:t>
      </w:r>
      <w:bookmarkEnd w:id="78"/>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default" w:ascii="楷体_GB2312" w:hAnsi="楷体_GB2312" w:eastAsia="楷体_GB2312" w:cs="楷体_GB2312"/>
          <w:b/>
          <w:bCs/>
          <w:sz w:val="32"/>
          <w:szCs w:val="32"/>
          <w:lang w:val="en-US" w:eastAsia="zh-CN"/>
        </w:rPr>
      </w:pPr>
      <w:bookmarkStart w:id="79" w:name="_Toc27154"/>
      <w:r>
        <w:rPr>
          <w:rFonts w:hint="eastAsia" w:ascii="楷体_GB2312" w:hAnsi="楷体_GB2312" w:eastAsia="楷体_GB2312" w:cs="楷体_GB2312"/>
          <w:b/>
          <w:bCs/>
          <w:sz w:val="32"/>
          <w:szCs w:val="32"/>
          <w:lang w:val="en-US" w:eastAsia="zh-CN"/>
        </w:rPr>
        <w:t>（一）因在事故中死亡免予追究责任人员</w:t>
      </w:r>
      <w:bookmarkEnd w:id="79"/>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某</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安全意识淡薄，在不具备废旧船舶拆解专业技术的情况实施作业，被坠落的水泥趸船绞盘砸中头部导致自身受伤，对事故负有直接责任，因在事故中死亡，根据法律规定，免予追究责任。</w:t>
      </w:r>
    </w:p>
    <w:p>
      <w:pPr>
        <w:pStyle w:val="7"/>
        <w:keepNext w:val="0"/>
        <w:keepLines w:val="0"/>
        <w:pageBreakBefore w:val="0"/>
        <w:widowControl w:val="0"/>
        <w:kinsoku/>
        <w:wordWrap/>
        <w:overflowPunct/>
        <w:autoSpaceDE/>
        <w:autoSpaceDN/>
        <w:bidi w:val="0"/>
        <w:spacing w:line="560" w:lineRule="exact"/>
        <w:ind w:left="0" w:leftChars="0" w:firstLine="642" w:firstLineChars="200"/>
        <w:jc w:val="both"/>
        <w:textAlignment w:val="auto"/>
        <w:outlineLvl w:val="1"/>
        <w:rPr>
          <w:rFonts w:hint="eastAsia" w:ascii="楷体_GB2312" w:hAnsi="楷体_GB2312" w:eastAsia="楷体_GB2312" w:cs="楷体_GB2312"/>
          <w:b/>
          <w:bCs/>
          <w:sz w:val="32"/>
          <w:szCs w:val="32"/>
          <w:lang w:val="en-US" w:eastAsia="zh-CN"/>
        </w:rPr>
      </w:pPr>
      <w:bookmarkStart w:id="80" w:name="_Toc11308"/>
      <w:r>
        <w:rPr>
          <w:rFonts w:hint="eastAsia" w:ascii="楷体_GB2312" w:hAnsi="楷体_GB2312" w:eastAsia="楷体_GB2312" w:cs="楷体_GB2312"/>
          <w:b/>
          <w:bCs/>
          <w:sz w:val="32"/>
          <w:szCs w:val="32"/>
          <w:lang w:val="en-US" w:eastAsia="zh-CN"/>
        </w:rPr>
        <w:t>（二）对事故有关责任人员和责任单位的行政处罚建议</w:t>
      </w:r>
      <w:bookmarkEnd w:id="80"/>
    </w:p>
    <w:p>
      <w:pPr>
        <w:keepNext w:val="0"/>
        <w:keepLines w:val="0"/>
        <w:pageBreakBefore w:val="0"/>
        <w:widowControl w:val="0"/>
        <w:kinsoku/>
        <w:wordWrap/>
        <w:overflowPunct/>
        <w:autoSpaceDE/>
        <w:autoSpaceDN/>
        <w:bidi w:val="0"/>
        <w:spacing w:line="560" w:lineRule="exact"/>
        <w:ind w:firstLine="642"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.自然人郭某。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在不具</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备船舶拆解相关资质的情况下组织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人员实施</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废旧水泥趸船拆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解作业；安全管理和教育培训不到位，</w:t>
      </w:r>
      <w:r>
        <w:rPr>
          <w:rFonts w:hint="eastAsia" w:ascii="仿宋_GB2312" w:hAnsi="仿宋_GB2312" w:eastAsia="仿宋_GB2312" w:cs="仿宋_GB2312"/>
          <w:color w:val="auto"/>
          <w:sz w:val="32"/>
          <w:szCs w:val="32"/>
          <w:lang w:val="en-US" w:eastAsia="zh-CN"/>
        </w:rPr>
        <w:t>雇佣人员</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存在违章作业行为；存在事故迟报情况，</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对事故负有责任。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违反《安全生产法》第二十条</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4"/>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、第二十八条第一款</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5"/>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和《湖北省安全生产条例》第二十三条第二款</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6"/>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规定，建议由应急管理部门依照有关法律法规给予行政处罚。</w:t>
      </w:r>
    </w:p>
    <w:p>
      <w:pPr>
        <w:keepNext w:val="0"/>
        <w:keepLines w:val="0"/>
        <w:pageBreakBefore w:val="0"/>
        <w:widowControl w:val="0"/>
        <w:kinsoku/>
        <w:wordWrap/>
        <w:overflowPunct/>
        <w:autoSpaceDE/>
        <w:autoSpaceDN/>
        <w:bidi w:val="0"/>
        <w:spacing w:line="560" w:lineRule="exact"/>
        <w:ind w:firstLine="642"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kern w:val="2"/>
          <w:sz w:val="32"/>
          <w:szCs w:val="32"/>
          <w:u w:val="none"/>
          <w:lang w:val="en-US" w:eastAsia="zh-CN" w:bidi="ar-SA"/>
          <w14:textFill>
            <w14:solidFill>
              <w14:schemeClr w14:val="tx1"/>
            </w14:solidFill>
          </w14:textFill>
        </w:rPr>
        <w:t>港申船务公司。</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未有效落实对承租单位</w:t>
      </w:r>
      <w:r>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的安全生产工作</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的统一</w:t>
      </w:r>
      <w:r>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协调管理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。违反《安全生产法》第四十九条第二款</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7"/>
      </w:r>
      <w:r>
        <w:rPr>
          <w:rStyle w:val="11"/>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规定</w:t>
      </w:r>
      <w:r>
        <w:rPr>
          <w:rFonts w:hint="eastAsia" w:ascii="仿宋" w:hAnsi="仿宋" w:eastAsia="仿宋" w:cs="仿宋"/>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建议由应急管理部门依照有关法律法规给予行政处罚。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bookmarkStart w:id="81" w:name="_Toc577"/>
      <w:r>
        <w:rPr>
          <w:rFonts w:hint="eastAsia" w:ascii="黑体" w:hAnsi="黑体" w:eastAsia="黑体" w:cs="黑体"/>
          <w:color w:val="000000" w:themeColor="text1"/>
          <w:sz w:val="32"/>
          <w:szCs w:val="32"/>
          <w:lang w:val="en-US" w:eastAsia="zh-CN"/>
          <w14:textFill>
            <w14:solidFill>
              <w14:schemeClr w14:val="tx1"/>
            </w14:solidFill>
          </w14:textFill>
        </w:rPr>
        <w:t>六、事故主要教训</w:t>
      </w:r>
      <w:bookmarkEnd w:id="81"/>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本起事故的发生暴露出部分生产经营单位安全生产主体责任落实不到位，违法组织生产经营作业；安全生产管理和教育不到位，从业人员安全意识淡薄，安全保护措施落实不到位。</w:t>
      </w:r>
    </w:p>
    <w:p>
      <w:pPr>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color w:val="000000" w:themeColor="text1"/>
          <w:sz w:val="32"/>
          <w:szCs w:val="32"/>
          <w:lang w:val="en-US" w:eastAsia="zh-CN"/>
          <w14:textFill>
            <w14:solidFill>
              <w14:schemeClr w14:val="tx1"/>
            </w14:solidFill>
          </w14:textFill>
        </w:rPr>
      </w:pPr>
      <w:bookmarkStart w:id="82" w:name="_Toc31109"/>
      <w:r>
        <w:rPr>
          <w:rFonts w:hint="eastAsia" w:ascii="黑体" w:hAnsi="黑体" w:eastAsia="黑体" w:cs="黑体"/>
          <w:color w:val="000000" w:themeColor="text1"/>
          <w:sz w:val="32"/>
          <w:szCs w:val="32"/>
          <w:lang w:val="en-US" w:eastAsia="zh-CN"/>
          <w14:textFill>
            <w14:solidFill>
              <w14:schemeClr w14:val="tx1"/>
            </w14:solidFill>
          </w14:textFill>
        </w:rPr>
        <w:t>七、事故整改和防范措施</w:t>
      </w:r>
      <w:bookmarkEnd w:id="82"/>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ascii="微软雅黑" w:hAnsi="微软雅黑" w:eastAsia="微软雅黑" w:cs="微软雅黑"/>
          <w:i w:val="0"/>
          <w:iCs w:val="0"/>
          <w:caps w:val="0"/>
          <w:color w:val="333333"/>
          <w:spacing w:val="0"/>
          <w:sz w:val="24"/>
          <w:szCs w:val="24"/>
          <w:shd w:val="clear" w:fill="FFFFFF"/>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郭某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要深刻汲取本次事故教训，在具备安全生产资质或条件的情况组织人员进行施工作业，加强现场安全管理和</w:t>
      </w:r>
      <w:r>
        <w:rPr>
          <w:rFonts w:hint="eastAsia" w:ascii="仿宋_GB2312" w:hAnsi="仿宋_GB2312" w:eastAsia="仿宋_GB2312" w:cs="仿宋_GB2312"/>
          <w:color w:val="auto"/>
          <w:sz w:val="32"/>
          <w:szCs w:val="32"/>
          <w:lang w:val="en-US" w:eastAsia="zh-CN"/>
        </w:rPr>
        <w:t>雇佣人员</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安全教育培训，严格督促落实安全保护措施，</w:t>
      </w:r>
      <w:r>
        <w:rPr>
          <w:rFonts w:hint="eastAsia" w:ascii="仿宋_GB2312" w:hAnsi="仿宋_GB2312" w:eastAsia="仿宋_GB2312" w:cs="仿宋_GB2312"/>
          <w:b w:val="0"/>
          <w:bCs w:val="0"/>
          <w:color w:val="auto"/>
          <w:sz w:val="32"/>
          <w:szCs w:val="32"/>
          <w:lang w:val="en-US" w:eastAsia="zh-CN"/>
        </w:rPr>
        <w:t>确保作业安全。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（二）</w:t>
      </w:r>
      <w:r>
        <w:rPr>
          <w:rFonts w:hint="eastAsia" w:ascii="仿宋_GB2312" w:hAnsi="仿宋_GB2312" w:eastAsia="仿宋_GB2312" w:cs="仿宋_GB2312"/>
          <w:b/>
          <w:bCs/>
          <w:color w:val="000000" w:themeColor="text1"/>
          <w:kern w:val="2"/>
          <w:sz w:val="32"/>
          <w:szCs w:val="32"/>
          <w:u w:val="none"/>
          <w:lang w:val="en-US" w:eastAsia="zh-CN" w:bidi="ar-SA"/>
          <w14:textFill>
            <w14:solidFill>
              <w14:schemeClr w14:val="tx1"/>
            </w14:solidFill>
          </w14:textFill>
        </w:rPr>
        <w:t>港申船务公司</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要深刻汲取</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教训，从严生产经营项目承租单位出租管理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强化出租场所安全管理，及时提醒制止违法违规违章作业行为。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b/>
          <w:bCs w:val="0"/>
          <w:sz w:val="32"/>
          <w:szCs w:val="32"/>
          <w:lang w:val="en-US" w:eastAsia="zh-CN"/>
        </w:rPr>
        <w:t>武汉青山海事处、区经科局、区城管局、青山镇街道</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要深刻汲取事故教训，以案为鉴，组织做好安全事故警示教育，举一反三，</w:t>
      </w:r>
      <w:r>
        <w:rPr>
          <w:rFonts w:hint="eastAsia" w:ascii="仿宋_GB2312" w:hAnsi="仿宋_GB2312" w:eastAsia="仿宋_GB2312" w:cs="仿宋_GB2312"/>
          <w:color w:val="auto"/>
          <w:sz w:val="32"/>
          <w:szCs w:val="32"/>
          <w:lang w:val="en-US" w:eastAsia="zh-CN"/>
        </w:rPr>
        <w:t>做好本辖区本行业领域生产经营单位的安全监管，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加强安全监督检查力度，坚决遏制此类事故的再次发生。</w:t>
      </w:r>
    </w:p>
    <w:p>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pStyle w:val="2"/>
        <w:keepNext w:val="0"/>
        <w:keepLines w:val="0"/>
        <w:pageBreakBefore w:val="0"/>
        <w:widowControl w:val="0"/>
        <w:kinsoku/>
        <w:wordWrap/>
        <w:overflowPunct/>
        <w:autoSpaceDE/>
        <w:autoSpaceDN/>
        <w:bidi w:val="0"/>
        <w:spacing w:line="560" w:lineRule="exact"/>
        <w:ind w:left="0" w:leftChars="0" w:firstLine="0" w:firstLineChars="0"/>
        <w:jc w:val="both"/>
        <w:textAlignment w:val="auto"/>
        <w:rPr>
          <w:rFonts w:hint="default"/>
          <w:lang w:val="en-US" w:eastAsia="zh-CN"/>
        </w:rPr>
      </w:pPr>
      <w:r>
        <w:rPr>
          <w:rFonts w:hint="eastAsia"/>
          <w:lang w:val="en-US" w:eastAsia="zh-CN"/>
        </w:rPr>
        <w:t xml:space="preserve"> </w:t>
      </w:r>
    </w:p>
    <w:p>
      <w:pPr>
        <w:pStyle w:val="2"/>
        <w:keepNext w:val="0"/>
        <w:keepLines w:val="0"/>
        <w:pageBreakBefore w:val="0"/>
        <w:widowControl w:val="0"/>
        <w:kinsoku/>
        <w:wordWrap/>
        <w:overflowPunct/>
        <w:autoSpaceDE/>
        <w:autoSpaceDN/>
        <w:bidi w:val="0"/>
        <w:spacing w:line="560" w:lineRule="exact"/>
        <w:ind w:left="0" w:leftChars="0" w:firstLine="0" w:firstLineChars="0"/>
        <w:jc w:val="both"/>
        <w:textAlignment w:val="auto"/>
        <w:rPr>
          <w:rFonts w:hint="eastAsia"/>
          <w:lang w:eastAsia="zh-CN"/>
        </w:rPr>
      </w:pPr>
    </w:p>
    <w:p>
      <w:pPr>
        <w:pStyle w:val="2"/>
        <w:keepNext w:val="0"/>
        <w:keepLines w:val="0"/>
        <w:pageBreakBefore w:val="0"/>
        <w:widowControl w:val="0"/>
        <w:kinsoku/>
        <w:wordWrap/>
        <w:overflowPunct/>
        <w:autoSpaceDE/>
        <w:autoSpaceDN/>
        <w:bidi w:val="0"/>
        <w:spacing w:line="560" w:lineRule="exact"/>
        <w:jc w:val="right"/>
        <w:textAlignment w:val="auto"/>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青山区“</w:t>
      </w:r>
      <w:r>
        <w:rPr>
          <w:rFonts w:hint="eastAsia" w:ascii="宋体" w:hAnsi="宋体" w:eastAsia="宋体" w:cs="宋体"/>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宋体" w:hAnsi="宋体" w:eastAsia="宋体" w:cs="宋体"/>
          <w:b w:val="0"/>
          <w:bCs w:val="0"/>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”一般物体打击事故调查组</w:t>
      </w:r>
    </w:p>
    <w:p>
      <w:pPr>
        <w:pStyle w:val="2"/>
        <w:keepNext w:val="0"/>
        <w:keepLines w:val="0"/>
        <w:pageBreakBefore w:val="0"/>
        <w:widowControl w:val="0"/>
        <w:kinsoku/>
        <w:wordWrap w:val="0"/>
        <w:overflowPunct/>
        <w:autoSpaceDE/>
        <w:autoSpaceDN/>
        <w:bidi w:val="0"/>
        <w:spacing w:line="560" w:lineRule="exact"/>
        <w:jc w:val="right"/>
        <w:textAlignment w:val="auto"/>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 xml:space="preserve">               </w:t>
      </w:r>
      <w:r>
        <w:rPr>
          <w:rFonts w:hint="eastAsia" w:eastAsia="宋体" w:cs="宋体"/>
          <w:b w:val="0"/>
          <w:bCs w:val="0"/>
          <w:color w:val="000000" w:themeColor="text1"/>
          <w:sz w:val="32"/>
          <w:szCs w:val="32"/>
          <w:lang w:val="en-US" w:eastAsia="zh-CN"/>
          <w14:textFill>
            <w14:solidFill>
              <w14:schemeClr w14:val="tx1"/>
            </w14:solidFill>
          </w14:textFill>
        </w:rPr>
        <w:t xml:space="preserve">  </w:t>
      </w:r>
      <w:r>
        <w:rPr>
          <w:rFonts w:hint="eastAsia" w:ascii="宋体" w:hAnsi="宋体" w:eastAsia="宋体" w:cs="宋体"/>
          <w:b w:val="0"/>
          <w:bCs w:val="0"/>
          <w:color w:val="000000" w:themeColor="text1"/>
          <w:sz w:val="32"/>
          <w:szCs w:val="32"/>
          <w:lang w:val="en-US" w:eastAsia="zh-CN"/>
          <w14:textFill>
            <w14:solidFill>
              <w14:schemeClr w14:val="tx1"/>
            </w14:solidFill>
          </w14:textFill>
        </w:rPr>
        <w:t>2025</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年</w:t>
      </w:r>
      <w:r>
        <w:rPr>
          <w:rFonts w:hint="eastAsia" w:ascii="宋体" w:hAnsi="宋体" w:eastAsia="宋体" w:cs="宋体"/>
          <w:b w:val="0"/>
          <w:bCs w:val="0"/>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月</w:t>
      </w:r>
      <w:r>
        <w:rPr>
          <w:rFonts w:hint="eastAsia" w:ascii="宋体" w:hAnsi="宋体" w:eastAsia="宋体" w:cs="宋体"/>
          <w:b w:val="0"/>
          <w:bCs w:val="0"/>
          <w:color w:val="000000" w:themeColor="text1"/>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 xml:space="preserve">日          </w:t>
      </w:r>
    </w:p>
    <w:sectPr>
      <w:footerReference r:id="rId5"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Helvetica">
    <w:altName w:val="仿宋_GB2312"/>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Noto Sans CJK JP Bold">
    <w:panose1 w:val="020B0800000000000000"/>
    <w:charset w:val="86"/>
    <w:family w:val="auto"/>
    <w:pitch w:val="default"/>
    <w:sig w:usb0="30000003" w:usb1="2BDF3C10" w:usb2="00000016" w:usb3="00000000" w:csb0="602E0107" w:csb1="0000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gka0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JIJGtDECAABhBAAADgAAAAAAAAABACAAAAA1&#10;AQAAZHJzL2Uyb0RvYy54bWxQSwUGAAAAAAYABgBZAQAA2AU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89aE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&#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vfPWhDECAABjBAAADgAAAAAAAAABACAAAAA1&#10;AQAAZHJzL2Uyb0RvYy54bWxQSwUGAAAAAAYABgBZAQAA2AU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vGR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&#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bP7xkTECAABjBAAADgAAAAAAAAABACAAAAA1&#10;AQAAZHJzL2Uyb0RvYy54bWxQSwUGAAAAAAYABgBZAQAA2AU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qK+V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qaivlTECAABjBAAADgAAAAAAAAABACAAAAA1&#10;AQAAZHJzL2Uyb0RvYy54bWxQSwUGAAAAAAYABgBZAQAA2A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gNOOMgIAAGE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GA044yAgAAYQQAAA4AAAAAAAAAAQAgAAAA&#10;NQEAAGRycy9lMm9Eb2MueG1sUEsFBgAAAAAGAAYAWQEAANkFA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l7XO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x5e1zjECAABhBAAADgAAAAAAAAABACAAAAA1&#10;AQAAZHJzL2Uyb0RvYy54bWxQSwUGAAAAAAYABgBZAQAA2AU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lSD0MgIAAGEEAAAOAAAAZHJz&#10;L2Uyb0RvYy54bWytVM2O0zAQviPxDpbvNGkRq27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AKVIPQyAgAAYQQAAA4AAAAAAAAAAQAgAAAA&#10;NQEAAGRycy9lMm9Eb2MueG1sUEsFBgAAAAAGAAYAWQEAANkFA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r>
        <w:separator/>
      </w:r>
    </w:p>
  </w:footnote>
  <w:footnote w:type="continuationSeparator" w:id="17">
    <w:p>
      <w:r>
        <w:continuationSeparator/>
      </w:r>
    </w:p>
  </w:footnote>
  <w:footnote w:id="0">
    <w:p>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《中华人民共和国安全生产法》第二十条：生产经营单位应当具备本法和有关法律、行政法规和国家标准或者行业标准规定的安全生产条件；不具备安全生产条件的，不得从事生产经营活动。 </w:t>
      </w:r>
    </w:p>
  </w:footnote>
  <w:footnote w:id="1">
    <w:p>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《中华人民共和国安全生产法》第二十八条第一款：生产经营单位应当对从业人员进行安全生产教育和培训，保证从业人员具备必要的安全生产知识，熟悉有关的安全生产规章制度和安全操作规程，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掌握本岗位的安全操作技能，了解事故应急处理措施，知悉自身在安全生产方面的权利和义务。未经安全生产教育和培训合格的从业人员，不得上岗作业。</w:t>
      </w:r>
    </w:p>
  </w:footnote>
  <w:footnote w:id="2">
    <w:p>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《湖北省安全生产条例》第二十三条第二款：承包方、承租方应当依法负责本单位安全生产工作；发生生产安全事故时，应当及时报告负有安全生产监督管理职责的部门，并告知发包方、出租方。</w:t>
      </w:r>
    </w:p>
  </w:footnote>
  <w:footnote w:id="3">
    <w:p>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《中华人民共和国安全生产法》第四十九条第二款：……。生产经营单位对承包单位、承租单位的安全生产工作统一协调、管理，定期进行安全检查，发现安全问题的，应当及时督促整改</w:t>
      </w:r>
      <w:r>
        <w:rPr>
          <w:rFonts w:ascii="Helvetica" w:hAnsi="Helvetica" w:eastAsia="Helvetica" w:cs="Helvetica"/>
          <w:i w:val="0"/>
          <w:iCs w:val="0"/>
          <w:caps w:val="0"/>
          <w:color w:val="333333"/>
          <w:spacing w:val="0"/>
          <w:sz w:val="21"/>
          <w:szCs w:val="21"/>
          <w:shd w:val="clear" w:fill="FFFFFF"/>
        </w:rPr>
        <w:t>。</w:t>
      </w:r>
    </w:p>
  </w:footnote>
  <w:footnote w:id="4">
    <w:p>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《中华人民共和国安全生产法》第二十条：生产经营单位应当具备本法和有关法律、行政法规和国家标准或者行业标准规定的安全生产条件；不具备安全生产条件的，不得从事生产经营活动。 </w:t>
      </w:r>
    </w:p>
  </w:footnote>
  <w:footnote w:id="5">
    <w:p>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《中华人民共和国安全生产法》第二十八条第一款：生产经营单位应当对从业人员进行安全生产教育和培训，保证从业人员具备必要的安全生产知识，熟悉有关的安全生产规章制度和安全操作规程，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掌握本岗位的安全操作技能，了解事故应急处理措施，知悉自身在安全生产方面的权利和义务。未经安全生产教育和培训合格的从业人员，不得上岗作业。</w:t>
      </w:r>
    </w:p>
  </w:footnote>
  <w:footnote w:id="6">
    <w:p>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《湖北省安全生产条例》第二十三条第二款：承包方、承租方应当依法负责本单位安全生产工作；发生生产安全事故时，应当及时报告负有安全生产监督管理职责的部门，并告知发包方、出租方。</w:t>
      </w:r>
    </w:p>
  </w:footnote>
  <w:footnote w:id="7">
    <w:p>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《中华人民共和国安全生产法》第四十九条第二款：……。生产经营单位对承包单位、承租单位的安全生产工作统一协调、管理，定期进行安全检查，发现安全问题的，应当及时督促整改</w:t>
      </w:r>
      <w:r>
        <w:rPr>
          <w:rFonts w:ascii="Helvetica" w:hAnsi="Helvetica" w:eastAsia="Helvetica" w:cs="Helvetica"/>
          <w:i w:val="0"/>
          <w:iCs w:val="0"/>
          <w:caps w:val="0"/>
          <w:color w:val="333333"/>
          <w:spacing w:val="0"/>
          <w:sz w:val="21"/>
          <w:szCs w:val="21"/>
          <w:shd w:val="clear" w:fill="FFFFFF"/>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6"/>
    <w:footnote w:id="17"/>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MzEyMTdiNjdjYjIyYTY2ODA4NWVjNmJjNTVhMzkifQ=="/>
  </w:docVars>
  <w:rsids>
    <w:rsidRoot w:val="51194DA5"/>
    <w:rsid w:val="01AF170E"/>
    <w:rsid w:val="04136724"/>
    <w:rsid w:val="04EB0562"/>
    <w:rsid w:val="058954CE"/>
    <w:rsid w:val="0A1571CF"/>
    <w:rsid w:val="0C5F41C1"/>
    <w:rsid w:val="11442786"/>
    <w:rsid w:val="12366BD3"/>
    <w:rsid w:val="12442092"/>
    <w:rsid w:val="133F72AB"/>
    <w:rsid w:val="1511631C"/>
    <w:rsid w:val="151D59A3"/>
    <w:rsid w:val="155570F3"/>
    <w:rsid w:val="15831478"/>
    <w:rsid w:val="159E625F"/>
    <w:rsid w:val="167707FD"/>
    <w:rsid w:val="16B01B5E"/>
    <w:rsid w:val="18356139"/>
    <w:rsid w:val="195F0FF9"/>
    <w:rsid w:val="199B6790"/>
    <w:rsid w:val="1F257E47"/>
    <w:rsid w:val="20492CFF"/>
    <w:rsid w:val="236879F7"/>
    <w:rsid w:val="248829AF"/>
    <w:rsid w:val="24B76916"/>
    <w:rsid w:val="25704E2A"/>
    <w:rsid w:val="27325B22"/>
    <w:rsid w:val="29B34958"/>
    <w:rsid w:val="29C54C03"/>
    <w:rsid w:val="2AB509BD"/>
    <w:rsid w:val="2CDD4CBE"/>
    <w:rsid w:val="2E2955B1"/>
    <w:rsid w:val="2EA53E15"/>
    <w:rsid w:val="2F0A3ACE"/>
    <w:rsid w:val="2F6B3945"/>
    <w:rsid w:val="30074296"/>
    <w:rsid w:val="30D0520E"/>
    <w:rsid w:val="328435A8"/>
    <w:rsid w:val="3337030F"/>
    <w:rsid w:val="39B04CBE"/>
    <w:rsid w:val="3A5F6AFE"/>
    <w:rsid w:val="3BA5016B"/>
    <w:rsid w:val="3BCF703D"/>
    <w:rsid w:val="3D07115F"/>
    <w:rsid w:val="3E1B735B"/>
    <w:rsid w:val="42534A61"/>
    <w:rsid w:val="43FAF8D9"/>
    <w:rsid w:val="46E60C47"/>
    <w:rsid w:val="495E15DE"/>
    <w:rsid w:val="4F886DBE"/>
    <w:rsid w:val="50E550EA"/>
    <w:rsid w:val="51194DA5"/>
    <w:rsid w:val="520C0D9F"/>
    <w:rsid w:val="54105DF7"/>
    <w:rsid w:val="593F3B16"/>
    <w:rsid w:val="5B222411"/>
    <w:rsid w:val="5EC52588"/>
    <w:rsid w:val="5FFDA96F"/>
    <w:rsid w:val="601131F8"/>
    <w:rsid w:val="61146F1C"/>
    <w:rsid w:val="640A0509"/>
    <w:rsid w:val="64B23AA2"/>
    <w:rsid w:val="64BC33A0"/>
    <w:rsid w:val="6617798C"/>
    <w:rsid w:val="67B209F7"/>
    <w:rsid w:val="6A111035"/>
    <w:rsid w:val="6CA86ED0"/>
    <w:rsid w:val="6CFE3057"/>
    <w:rsid w:val="6EAD1BA4"/>
    <w:rsid w:val="6EC20254"/>
    <w:rsid w:val="6EE102CE"/>
    <w:rsid w:val="705222AF"/>
    <w:rsid w:val="734E42B6"/>
    <w:rsid w:val="738A7F30"/>
    <w:rsid w:val="755D199D"/>
    <w:rsid w:val="761A356D"/>
    <w:rsid w:val="76F151D9"/>
    <w:rsid w:val="776316F0"/>
    <w:rsid w:val="782F143B"/>
    <w:rsid w:val="79DA555A"/>
    <w:rsid w:val="79FC43DC"/>
    <w:rsid w:val="7A745A24"/>
    <w:rsid w:val="7BD61887"/>
    <w:rsid w:val="7BF6189A"/>
    <w:rsid w:val="7CB91938"/>
    <w:rsid w:val="7CC3693C"/>
    <w:rsid w:val="7E42647E"/>
    <w:rsid w:val="7EDF7765"/>
    <w:rsid w:val="7F3D15CE"/>
    <w:rsid w:val="F7792D7F"/>
    <w:rsid w:val="FBBFDC21"/>
    <w:rsid w:val="FE3EEC28"/>
    <w:rsid w:val="FF370082"/>
    <w:rsid w:val="FF6FFF49"/>
    <w:rsid w:val="FFBF4542"/>
    <w:rsid w:val="FFFF3B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li_正文"/>
    <w:basedOn w:val="1"/>
    <w:autoRedefine/>
    <w:qFormat/>
    <w:uiPriority w:val="0"/>
    <w:pPr>
      <w:widowControl w:val="0"/>
      <w:topLinePunct/>
      <w:adjustRightInd w:val="0"/>
      <w:snapToGrid w:val="0"/>
      <w:spacing w:line="360" w:lineRule="auto"/>
      <w:ind w:firstLine="700" w:firstLineChars="250"/>
      <w:textAlignment w:val="auto"/>
    </w:pPr>
    <w:rPr>
      <w:rFonts w:ascii="宋体" w:hAnsi="宋体"/>
      <w:sz w:val="28"/>
      <w:szCs w:val="28"/>
      <w:u w:val="none" w:color="auto"/>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footnote text"/>
    <w:basedOn w:val="1"/>
    <w:qFormat/>
    <w:uiPriority w:val="0"/>
    <w:pPr>
      <w:snapToGrid w:val="0"/>
      <w:jc w:val="left"/>
    </w:pPr>
    <w:rPr>
      <w:sz w:val="18"/>
    </w:rPr>
  </w:style>
  <w:style w:type="paragraph" w:styleId="7">
    <w:name w:val="toc 2"/>
    <w:basedOn w:val="1"/>
    <w:next w:val="1"/>
    <w:qFormat/>
    <w:uiPriority w:val="0"/>
    <w:pPr>
      <w:ind w:left="420" w:leftChars="200"/>
    </w:pPr>
  </w:style>
  <w:style w:type="character" w:styleId="10">
    <w:name w:val="Hyperlink"/>
    <w:basedOn w:val="9"/>
    <w:qFormat/>
    <w:uiPriority w:val="0"/>
    <w:rPr>
      <w:color w:val="0000FF"/>
      <w:u w:val="single"/>
    </w:rPr>
  </w:style>
  <w:style w:type="character" w:styleId="11">
    <w:name w:val="footnote reference"/>
    <w:basedOn w:val="9"/>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328</Words>
  <Characters>328</Characters>
  <Lines>0</Lines>
  <Paragraphs>0</Paragraphs>
  <TotalTime>85</TotalTime>
  <ScaleCrop>false</ScaleCrop>
  <LinksUpToDate>false</LinksUpToDate>
  <CharactersWithSpaces>105360</CharactersWithSpaces>
  <Application>WPS Office_12.8.2.1112_F1E327BC-269C-435d-A152-05C5408002CA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2024-06-27T22:58:00Z</dcterms:created>
  <dc:creator>Asnlssu</dc:creator>
  <cp:lastModifiedBy>uos</cp:lastModifiedBy>
  <cp:lastPrinted>2025-05-21T16:55:00Z</cp:lastPrinted>
  <dcterms:modified xsi:type="dcterms:W3CDTF">2025-05-27T16:26:03Z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2052-12.8.2.1112</vt:lpwstr>
  </property>
  <property fmtid="{D5CDD505-2E9C-101B-9397-08002B2CF9AE}" pid="3" name="ICV">
    <vt:lpwstr>3781F54F86784FBBB97A36418D728B5A_13</vt:lpwstr>
  </property>
  <property fmtid="{D5CDD505-2E9C-101B-9397-08002B2CF9AE}" pid="4" name="KSOTemplateDocerSaveRecord">
    <vt:lpwstr>eyJoZGlkIjoiZDYzOTYzZjczNGZmNGI3MzhlNGQzMDkxYzE4YzYxOGEiLCJ1c2VySWQiOiIxMTc5NDgzNjMxIn0=</vt:lpwstr>
  </property>
</Properties>
</file>