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D78B90">
      <w:pPr>
        <w:pStyle w:val="17"/>
        <w:rPr>
          <w:rFonts w:hint="default"/>
          <w:color w:val="000000" w:themeColor="text1"/>
          <w:lang w:val="en-US" w:eastAsia="zh-CN"/>
          <w14:textFill>
            <w14:solidFill>
              <w14:schemeClr w14:val="tx1"/>
            </w14:solidFill>
          </w14:textFill>
        </w:rPr>
      </w:pPr>
    </w:p>
    <w:p w14:paraId="25DDCE56">
      <w:pPr>
        <w:pStyle w:val="17"/>
        <w:rPr>
          <w:rFonts w:hint="eastAsia"/>
          <w:color w:val="000000" w:themeColor="text1"/>
          <w:lang w:val="en-US" w:eastAsia="zh-CN"/>
          <w14:textFill>
            <w14:solidFill>
              <w14:schemeClr w14:val="tx1"/>
            </w14:solidFill>
          </w14:textFill>
        </w:rPr>
      </w:pPr>
    </w:p>
    <w:p w14:paraId="470E3AC3">
      <w:pPr>
        <w:jc w:val="center"/>
        <w:outlineLvl w:val="0"/>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pPr>
      <w:bookmarkStart w:id="0" w:name="_Toc27078"/>
      <w:bookmarkStart w:id="1" w:name="_Toc30016"/>
      <w:bookmarkStart w:id="2" w:name="_Toc24460"/>
      <w:bookmarkStart w:id="3" w:name="_Toc4234"/>
      <w:bookmarkStart w:id="4" w:name="_Toc5690"/>
      <w:bookmarkStart w:id="5" w:name="_Toc32603"/>
      <w:bookmarkStart w:id="6" w:name="_Toc13948"/>
      <w:bookmarkStart w:id="7" w:name="_Toc12013"/>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青山红卫路华美饲料地块及青山滨江西片</w:t>
      </w:r>
      <w:bookmarkEnd w:id="0"/>
    </w:p>
    <w:p w14:paraId="36EADC9D">
      <w:pPr>
        <w:jc w:val="center"/>
        <w:outlineLvl w:val="0"/>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pPr>
      <w:bookmarkStart w:id="8" w:name="_Toc26248"/>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F地块（邦泰·璟和）项目“3·21”</w:t>
      </w:r>
      <w:bookmarkEnd w:id="8"/>
    </w:p>
    <w:p w14:paraId="35959338">
      <w:pPr>
        <w:jc w:val="center"/>
        <w:outlineLvl w:val="0"/>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pPr>
      <w:bookmarkStart w:id="9" w:name="_Toc7117"/>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一般起重伤害</w:t>
      </w:r>
      <w:bookmarkEnd w:id="1"/>
      <w:bookmarkStart w:id="10" w:name="_Toc28352"/>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事故</w:t>
      </w:r>
      <w:bookmarkEnd w:id="2"/>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调查</w:t>
      </w:r>
      <w:bookmarkEnd w:id="3"/>
      <w:bookmarkEnd w:id="4"/>
      <w:bookmarkEnd w:id="5"/>
      <w:bookmarkStart w:id="11" w:name="_Toc3869"/>
      <w:bookmarkStart w:id="12" w:name="_Toc30922"/>
      <w:bookmarkStart w:id="13" w:name="_Toc16380"/>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报告</w:t>
      </w:r>
      <w:bookmarkEnd w:id="6"/>
      <w:bookmarkEnd w:id="7"/>
      <w:bookmarkEnd w:id="9"/>
      <w:bookmarkEnd w:id="10"/>
      <w:bookmarkEnd w:id="11"/>
      <w:bookmarkEnd w:id="12"/>
      <w:bookmarkEnd w:id="13"/>
    </w:p>
    <w:p w14:paraId="76226E15">
      <w:pPr>
        <w:pStyle w:val="17"/>
        <w:rPr>
          <w:rFonts w:hint="eastAsia"/>
          <w:lang w:val="en-US" w:eastAsia="zh-CN"/>
        </w:rPr>
      </w:pPr>
    </w:p>
    <w:p w14:paraId="244660A8">
      <w:pPr>
        <w:pStyle w:val="17"/>
        <w:rPr>
          <w:rFonts w:hint="eastAsia"/>
          <w:lang w:val="en-US" w:eastAsia="zh-CN"/>
        </w:rPr>
      </w:pPr>
    </w:p>
    <w:p w14:paraId="1AC05309">
      <w:pPr>
        <w:jc w:val="both"/>
        <w:rPr>
          <w:rFonts w:hint="eastAsia" w:ascii="宋体" w:hAnsi="宋体" w:eastAsia="宋体" w:cs="宋体"/>
          <w:b/>
          <w:bCs/>
          <w:color w:val="000000" w:themeColor="text1"/>
          <w:sz w:val="48"/>
          <w:szCs w:val="48"/>
          <w:lang w:val="en-US" w:eastAsia="zh-CN"/>
          <w14:textFill>
            <w14:solidFill>
              <w14:schemeClr w14:val="tx1"/>
            </w14:solidFill>
          </w14:textFill>
        </w:rPr>
      </w:pPr>
    </w:p>
    <w:p w14:paraId="5957597E">
      <w:pPr>
        <w:jc w:val="both"/>
        <w:rPr>
          <w:rFonts w:hint="eastAsia" w:ascii="宋体" w:hAnsi="宋体" w:eastAsia="宋体" w:cs="宋体"/>
          <w:b/>
          <w:bCs/>
          <w:color w:val="000000" w:themeColor="text1"/>
          <w:sz w:val="48"/>
          <w:szCs w:val="48"/>
          <w:lang w:val="en-US" w:eastAsia="zh-CN"/>
          <w14:textFill>
            <w14:solidFill>
              <w14:schemeClr w14:val="tx1"/>
            </w14:solidFill>
          </w14:textFill>
        </w:rPr>
      </w:pPr>
    </w:p>
    <w:p w14:paraId="2E44CE3A">
      <w:pPr>
        <w:jc w:val="both"/>
        <w:rPr>
          <w:rFonts w:hint="eastAsia" w:ascii="宋体" w:hAnsi="宋体" w:eastAsia="宋体" w:cs="宋体"/>
          <w:b/>
          <w:bCs/>
          <w:color w:val="000000" w:themeColor="text1"/>
          <w:sz w:val="48"/>
          <w:szCs w:val="48"/>
          <w:lang w:val="en-US" w:eastAsia="zh-CN"/>
          <w14:textFill>
            <w14:solidFill>
              <w14:schemeClr w14:val="tx1"/>
            </w14:solidFill>
          </w14:textFill>
        </w:rPr>
      </w:pPr>
    </w:p>
    <w:p w14:paraId="215A02A6">
      <w:pPr>
        <w:jc w:val="both"/>
        <w:rPr>
          <w:rFonts w:hint="eastAsia" w:ascii="宋体" w:hAnsi="宋体" w:eastAsia="宋体" w:cs="宋体"/>
          <w:b/>
          <w:bCs/>
          <w:color w:val="000000" w:themeColor="text1"/>
          <w:sz w:val="48"/>
          <w:szCs w:val="48"/>
          <w:lang w:val="en-US" w:eastAsia="zh-CN"/>
          <w14:textFill>
            <w14:solidFill>
              <w14:schemeClr w14:val="tx1"/>
            </w14:solidFill>
          </w14:textFill>
        </w:rPr>
      </w:pPr>
    </w:p>
    <w:p w14:paraId="22466727">
      <w:pPr>
        <w:jc w:val="both"/>
        <w:rPr>
          <w:rFonts w:hint="eastAsia" w:ascii="宋体" w:hAnsi="宋体" w:eastAsia="宋体" w:cs="宋体"/>
          <w:b/>
          <w:bCs/>
          <w:color w:val="000000" w:themeColor="text1"/>
          <w:sz w:val="48"/>
          <w:szCs w:val="48"/>
          <w:lang w:val="en-US" w:eastAsia="zh-CN"/>
          <w14:textFill>
            <w14:solidFill>
              <w14:schemeClr w14:val="tx1"/>
            </w14:solidFill>
          </w14:textFill>
        </w:rPr>
      </w:pPr>
    </w:p>
    <w:p w14:paraId="165050F7">
      <w:pPr>
        <w:pStyle w:val="17"/>
        <w:ind w:left="0" w:leftChars="0" w:firstLine="0" w:firstLineChars="0"/>
        <w:rPr>
          <w:rFonts w:hint="eastAsia" w:ascii="宋体" w:hAnsi="宋体" w:eastAsia="宋体" w:cs="宋体"/>
          <w:b/>
          <w:bCs/>
          <w:color w:val="000000" w:themeColor="text1"/>
          <w:sz w:val="48"/>
          <w:szCs w:val="48"/>
          <w:lang w:val="en-US" w:eastAsia="zh-CN"/>
          <w14:textFill>
            <w14:solidFill>
              <w14:schemeClr w14:val="tx1"/>
            </w14:solidFill>
          </w14:textFill>
        </w:rPr>
      </w:pPr>
    </w:p>
    <w:p w14:paraId="7AC1DA2B">
      <w:pPr>
        <w:jc w:val="both"/>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p>
    <w:p w14:paraId="0D3C429F">
      <w:pPr>
        <w:pStyle w:val="17"/>
        <w:rPr>
          <w:rFonts w:hint="eastAsia"/>
          <w:lang w:val="en-US" w:eastAsia="zh-CN"/>
        </w:rPr>
      </w:pPr>
    </w:p>
    <w:p w14:paraId="26729E2C">
      <w:pPr>
        <w:jc w:val="both"/>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p>
    <w:p w14:paraId="09CAF17E">
      <w:pPr>
        <w:jc w:val="cente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青山区“3·21”一般起重伤害事故调查组</w:t>
      </w:r>
    </w:p>
    <w:p w14:paraId="7069D744">
      <w:pPr>
        <w:pStyle w:val="11"/>
        <w:ind w:left="0" w:leftChars="0" w:firstLine="0" w:firstLineChars="0"/>
        <w:jc w:val="center"/>
        <w:rPr>
          <w:rFonts w:hint="default"/>
          <w:lang w:val="en-US" w:eastAsia="zh-CN"/>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2026年7月</w:t>
      </w:r>
    </w:p>
    <w:p w14:paraId="322B2FE2">
      <w:pP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sectPr>
          <w:footerReference r:id="rId4" w:type="default"/>
          <w:pgSz w:w="11906" w:h="16838"/>
          <w:pgMar w:top="2098" w:right="1474" w:bottom="1984" w:left="1587" w:header="851" w:footer="992" w:gutter="0"/>
          <w:pgNumType w:fmt="decimal" w:start="1"/>
          <w:cols w:space="425" w:num="1"/>
          <w:docGrid w:type="lines" w:linePitch="312" w:charSpace="0"/>
        </w:sect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br w:type="page"/>
      </w:r>
    </w:p>
    <w:sdt>
      <w:sdtPr>
        <w:rPr>
          <w:rFonts w:ascii="宋体" w:hAnsi="宋体" w:eastAsia="宋体" w:cstheme="minorBidi"/>
          <w:b/>
          <w:bCs/>
          <w:kern w:val="2"/>
          <w:sz w:val="32"/>
          <w:szCs w:val="32"/>
          <w:lang w:val="en-US" w:eastAsia="zh-CN" w:bidi="ar-SA"/>
        </w:rPr>
        <w:id w:val="147466319"/>
        <w15:color w:val="DBDBDB"/>
        <w:docPartObj>
          <w:docPartGallery w:val="Table of Contents"/>
          <w:docPartUnique/>
        </w:docPartObj>
      </w:sdtPr>
      <w:sdtEndPr>
        <w:rPr>
          <w:rFonts w:ascii="宋体" w:hAnsi="宋体" w:eastAsia="宋体" w:cstheme="minorBidi"/>
          <w:b/>
          <w:bCs/>
          <w:kern w:val="2"/>
          <w:sz w:val="24"/>
          <w:szCs w:val="24"/>
          <w:lang w:val="en-US" w:eastAsia="zh-CN" w:bidi="ar-SA"/>
        </w:rPr>
      </w:sdtEndPr>
      <w:sdtContent>
        <w:p w14:paraId="4A4BD212">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rPr>
              <w:rFonts w:asciiTheme="minorHAnsi" w:hAnsiTheme="minorHAnsi" w:eastAsiaTheme="minorEastAsia" w:cstheme="minorBidi"/>
              <w:kern w:val="2"/>
              <w:sz w:val="24"/>
              <w:szCs w:val="24"/>
              <w:lang w:val="en-US" w:eastAsia="zh-CN" w:bidi="ar-SA"/>
            </w:rPr>
          </w:pPr>
          <w:r>
            <w:rPr>
              <w:rFonts w:hint="eastAsia" w:ascii="宋体" w:hAnsi="宋体" w:eastAsia="宋体" w:cs="宋体"/>
              <w:b/>
              <w:bCs/>
              <w:sz w:val="32"/>
              <w:szCs w:val="32"/>
            </w:rPr>
            <w:t>目</w:t>
          </w:r>
          <w:r>
            <w:rPr>
              <w:rFonts w:hint="eastAsia" w:ascii="宋体" w:hAnsi="宋体" w:eastAsia="宋体" w:cs="宋体"/>
              <w:b/>
              <w:bCs/>
              <w:sz w:val="32"/>
              <w:szCs w:val="32"/>
              <w:lang w:val="en-US" w:eastAsia="zh-CN"/>
            </w:rPr>
            <w:t xml:space="preserve">  </w:t>
          </w:r>
          <w:r>
            <w:rPr>
              <w:rFonts w:hint="eastAsia" w:ascii="宋体" w:hAnsi="宋体" w:eastAsia="宋体" w:cs="宋体"/>
              <w:b/>
              <w:bCs/>
              <w:sz w:val="32"/>
              <w:szCs w:val="32"/>
            </w:rPr>
            <w:t>录</w:t>
          </w:r>
          <w:r>
            <w:rPr>
              <w:sz w:val="24"/>
              <w:szCs w:val="24"/>
            </w:rPr>
            <w:fldChar w:fldCharType="begin"/>
          </w:r>
          <w:r>
            <w:rPr>
              <w:sz w:val="24"/>
              <w:szCs w:val="24"/>
            </w:rPr>
            <w:instrText xml:space="preserve">TOC \o "1-2" \h \u </w:instrText>
          </w:r>
          <w:r>
            <w:rPr>
              <w:sz w:val="24"/>
              <w:szCs w:val="24"/>
            </w:rPr>
            <w:fldChar w:fldCharType="separate"/>
          </w:r>
        </w:p>
        <w:p w14:paraId="70DEADA9">
          <w:pPr>
            <w:pStyle w:val="8"/>
            <w:keepNext w:val="0"/>
            <w:keepLines w:val="0"/>
            <w:pageBreakBefore w:val="0"/>
            <w:widowControl w:val="0"/>
            <w:tabs>
              <w:tab w:val="right" w:leader="dot" w:pos="8845"/>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_Toc6370 </w:instrText>
          </w:r>
          <w:r>
            <w:rPr>
              <w:sz w:val="24"/>
              <w:szCs w:val="24"/>
            </w:rPr>
            <w:fldChar w:fldCharType="separate"/>
          </w:r>
          <w:r>
            <w:rPr>
              <w:rFonts w:hint="eastAsia" w:ascii="黑体" w:hAnsi="黑体" w:eastAsia="黑体" w:cs="黑体"/>
              <w:sz w:val="24"/>
              <w:szCs w:val="24"/>
              <w:lang w:val="en-US" w:eastAsia="zh-CN"/>
            </w:rPr>
            <w:t>一、事故基本情况</w:t>
          </w:r>
          <w:r>
            <w:rPr>
              <w:sz w:val="24"/>
              <w:szCs w:val="24"/>
            </w:rPr>
            <w:tab/>
          </w:r>
          <w:r>
            <w:rPr>
              <w:sz w:val="24"/>
              <w:szCs w:val="24"/>
            </w:rPr>
            <w:fldChar w:fldCharType="begin"/>
          </w:r>
          <w:r>
            <w:rPr>
              <w:sz w:val="24"/>
              <w:szCs w:val="24"/>
            </w:rPr>
            <w:instrText xml:space="preserve"> PAGEREF _Toc6370 \h </w:instrText>
          </w:r>
          <w:r>
            <w:rPr>
              <w:sz w:val="24"/>
              <w:szCs w:val="24"/>
            </w:rPr>
            <w:fldChar w:fldCharType="separate"/>
          </w:r>
          <w:r>
            <w:rPr>
              <w:sz w:val="24"/>
              <w:szCs w:val="24"/>
            </w:rPr>
            <w:t>2</w:t>
          </w:r>
          <w:r>
            <w:rPr>
              <w:sz w:val="24"/>
              <w:szCs w:val="24"/>
            </w:rPr>
            <w:fldChar w:fldCharType="end"/>
          </w:r>
          <w:r>
            <w:rPr>
              <w:sz w:val="24"/>
              <w:szCs w:val="24"/>
            </w:rPr>
            <w:fldChar w:fldCharType="end"/>
          </w:r>
        </w:p>
        <w:p w14:paraId="06AF4772">
          <w:pPr>
            <w:pStyle w:val="10"/>
            <w:keepNext w:val="0"/>
            <w:keepLines w:val="0"/>
            <w:pageBreakBefore w:val="0"/>
            <w:widowControl w:val="0"/>
            <w:tabs>
              <w:tab w:val="right" w:leader="dot" w:pos="8845"/>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_Toc13655 </w:instrText>
          </w:r>
          <w:r>
            <w:rPr>
              <w:sz w:val="24"/>
              <w:szCs w:val="24"/>
            </w:rPr>
            <w:fldChar w:fldCharType="separate"/>
          </w:r>
          <w:r>
            <w:rPr>
              <w:rFonts w:hint="eastAsia" w:ascii="楷体_GB2312" w:hAnsi="楷体_GB2312" w:eastAsia="楷体_GB2312" w:cs="楷体_GB2312"/>
              <w:bCs/>
              <w:sz w:val="24"/>
              <w:szCs w:val="24"/>
              <w:lang w:val="en-US" w:eastAsia="zh-CN"/>
            </w:rPr>
            <w:t>（一）事故发生单位及相关单位概况</w:t>
          </w:r>
          <w:r>
            <w:rPr>
              <w:sz w:val="24"/>
              <w:szCs w:val="24"/>
            </w:rPr>
            <w:tab/>
          </w:r>
          <w:r>
            <w:rPr>
              <w:sz w:val="24"/>
              <w:szCs w:val="24"/>
            </w:rPr>
            <w:fldChar w:fldCharType="begin"/>
          </w:r>
          <w:r>
            <w:rPr>
              <w:sz w:val="24"/>
              <w:szCs w:val="24"/>
            </w:rPr>
            <w:instrText xml:space="preserve"> PAGEREF _Toc13655 \h </w:instrText>
          </w:r>
          <w:r>
            <w:rPr>
              <w:sz w:val="24"/>
              <w:szCs w:val="24"/>
            </w:rPr>
            <w:fldChar w:fldCharType="separate"/>
          </w:r>
          <w:r>
            <w:rPr>
              <w:sz w:val="24"/>
              <w:szCs w:val="24"/>
            </w:rPr>
            <w:t>2</w:t>
          </w:r>
          <w:r>
            <w:rPr>
              <w:sz w:val="24"/>
              <w:szCs w:val="24"/>
            </w:rPr>
            <w:fldChar w:fldCharType="end"/>
          </w:r>
          <w:r>
            <w:rPr>
              <w:sz w:val="24"/>
              <w:szCs w:val="24"/>
            </w:rPr>
            <w:fldChar w:fldCharType="end"/>
          </w:r>
        </w:p>
        <w:p w14:paraId="5AF6A0CA">
          <w:pPr>
            <w:pStyle w:val="10"/>
            <w:keepNext w:val="0"/>
            <w:keepLines w:val="0"/>
            <w:pageBreakBefore w:val="0"/>
            <w:widowControl w:val="0"/>
            <w:tabs>
              <w:tab w:val="right" w:leader="dot" w:pos="8845"/>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_Toc20317 </w:instrText>
          </w:r>
          <w:r>
            <w:rPr>
              <w:sz w:val="24"/>
              <w:szCs w:val="24"/>
            </w:rPr>
            <w:fldChar w:fldCharType="separate"/>
          </w:r>
          <w:r>
            <w:rPr>
              <w:rFonts w:hint="eastAsia" w:ascii="楷体_GB2312" w:hAnsi="楷体_GB2312" w:eastAsia="楷体_GB2312" w:cs="楷体_GB2312"/>
              <w:bCs/>
              <w:sz w:val="24"/>
              <w:szCs w:val="24"/>
              <w:lang w:val="en-US" w:eastAsia="zh-CN"/>
            </w:rPr>
            <w:t>（二）事故项目及相关合同情况</w:t>
          </w:r>
          <w:r>
            <w:rPr>
              <w:sz w:val="24"/>
              <w:szCs w:val="24"/>
            </w:rPr>
            <w:tab/>
          </w:r>
          <w:r>
            <w:rPr>
              <w:sz w:val="24"/>
              <w:szCs w:val="24"/>
            </w:rPr>
            <w:fldChar w:fldCharType="begin"/>
          </w:r>
          <w:r>
            <w:rPr>
              <w:sz w:val="24"/>
              <w:szCs w:val="24"/>
            </w:rPr>
            <w:instrText xml:space="preserve"> PAGEREF _Toc20317 \h </w:instrText>
          </w:r>
          <w:r>
            <w:rPr>
              <w:sz w:val="24"/>
              <w:szCs w:val="24"/>
            </w:rPr>
            <w:fldChar w:fldCharType="separate"/>
          </w:r>
          <w:r>
            <w:rPr>
              <w:sz w:val="24"/>
              <w:szCs w:val="24"/>
            </w:rPr>
            <w:t>4</w:t>
          </w:r>
          <w:r>
            <w:rPr>
              <w:sz w:val="24"/>
              <w:szCs w:val="24"/>
            </w:rPr>
            <w:fldChar w:fldCharType="end"/>
          </w:r>
          <w:r>
            <w:rPr>
              <w:sz w:val="24"/>
              <w:szCs w:val="24"/>
            </w:rPr>
            <w:fldChar w:fldCharType="end"/>
          </w:r>
        </w:p>
        <w:p w14:paraId="13CBE01E">
          <w:pPr>
            <w:pStyle w:val="10"/>
            <w:keepNext w:val="0"/>
            <w:keepLines w:val="0"/>
            <w:pageBreakBefore w:val="0"/>
            <w:widowControl w:val="0"/>
            <w:tabs>
              <w:tab w:val="right" w:leader="dot" w:pos="8845"/>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_Toc7179 </w:instrText>
          </w:r>
          <w:r>
            <w:rPr>
              <w:sz w:val="24"/>
              <w:szCs w:val="24"/>
            </w:rPr>
            <w:fldChar w:fldCharType="separate"/>
          </w:r>
          <w:r>
            <w:rPr>
              <w:rFonts w:hint="eastAsia" w:ascii="楷体_GB2312" w:hAnsi="楷体_GB2312" w:eastAsia="楷体_GB2312" w:cs="楷体_GB2312"/>
              <w:bCs/>
              <w:sz w:val="24"/>
              <w:szCs w:val="24"/>
              <w:lang w:val="en-US" w:eastAsia="zh-CN"/>
            </w:rPr>
            <w:t>（三）事故发生单位安全管理情况</w:t>
          </w:r>
          <w:r>
            <w:rPr>
              <w:sz w:val="24"/>
              <w:szCs w:val="24"/>
            </w:rPr>
            <w:tab/>
          </w:r>
          <w:r>
            <w:rPr>
              <w:sz w:val="24"/>
              <w:szCs w:val="24"/>
            </w:rPr>
            <w:fldChar w:fldCharType="begin"/>
          </w:r>
          <w:r>
            <w:rPr>
              <w:sz w:val="24"/>
              <w:szCs w:val="24"/>
            </w:rPr>
            <w:instrText xml:space="preserve"> PAGEREF _Toc7179 \h </w:instrText>
          </w:r>
          <w:r>
            <w:rPr>
              <w:sz w:val="24"/>
              <w:szCs w:val="24"/>
            </w:rPr>
            <w:fldChar w:fldCharType="separate"/>
          </w:r>
          <w:r>
            <w:rPr>
              <w:sz w:val="24"/>
              <w:szCs w:val="24"/>
            </w:rPr>
            <w:t>5</w:t>
          </w:r>
          <w:r>
            <w:rPr>
              <w:sz w:val="24"/>
              <w:szCs w:val="24"/>
            </w:rPr>
            <w:fldChar w:fldCharType="end"/>
          </w:r>
          <w:r>
            <w:rPr>
              <w:sz w:val="24"/>
              <w:szCs w:val="24"/>
            </w:rPr>
            <w:fldChar w:fldCharType="end"/>
          </w:r>
        </w:p>
        <w:p w14:paraId="2BBC2E56">
          <w:pPr>
            <w:pStyle w:val="10"/>
            <w:keepNext w:val="0"/>
            <w:keepLines w:val="0"/>
            <w:pageBreakBefore w:val="0"/>
            <w:widowControl w:val="0"/>
            <w:tabs>
              <w:tab w:val="right" w:leader="dot" w:pos="8845"/>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_Toc27377 </w:instrText>
          </w:r>
          <w:r>
            <w:rPr>
              <w:sz w:val="24"/>
              <w:szCs w:val="24"/>
            </w:rPr>
            <w:fldChar w:fldCharType="separate"/>
          </w:r>
          <w:r>
            <w:rPr>
              <w:rFonts w:hint="eastAsia" w:ascii="楷体_GB2312" w:hAnsi="楷体_GB2312" w:eastAsia="楷体_GB2312" w:cs="楷体_GB2312"/>
              <w:bCs/>
              <w:sz w:val="24"/>
              <w:szCs w:val="24"/>
              <w:lang w:val="en-US" w:eastAsia="zh-CN"/>
            </w:rPr>
            <w:t>（四）事故发生经过</w:t>
          </w:r>
          <w:r>
            <w:rPr>
              <w:sz w:val="24"/>
              <w:szCs w:val="24"/>
            </w:rPr>
            <w:tab/>
          </w:r>
          <w:r>
            <w:rPr>
              <w:sz w:val="24"/>
              <w:szCs w:val="24"/>
            </w:rPr>
            <w:fldChar w:fldCharType="begin"/>
          </w:r>
          <w:r>
            <w:rPr>
              <w:sz w:val="24"/>
              <w:szCs w:val="24"/>
            </w:rPr>
            <w:instrText xml:space="preserve"> PAGEREF _Toc27377 \h </w:instrText>
          </w:r>
          <w:r>
            <w:rPr>
              <w:sz w:val="24"/>
              <w:szCs w:val="24"/>
            </w:rPr>
            <w:fldChar w:fldCharType="separate"/>
          </w:r>
          <w:r>
            <w:rPr>
              <w:sz w:val="24"/>
              <w:szCs w:val="24"/>
            </w:rPr>
            <w:t>6</w:t>
          </w:r>
          <w:r>
            <w:rPr>
              <w:sz w:val="24"/>
              <w:szCs w:val="24"/>
            </w:rPr>
            <w:fldChar w:fldCharType="end"/>
          </w:r>
          <w:r>
            <w:rPr>
              <w:sz w:val="24"/>
              <w:szCs w:val="24"/>
            </w:rPr>
            <w:fldChar w:fldCharType="end"/>
          </w:r>
        </w:p>
        <w:p w14:paraId="660AD083">
          <w:pPr>
            <w:pStyle w:val="10"/>
            <w:keepNext w:val="0"/>
            <w:keepLines w:val="0"/>
            <w:pageBreakBefore w:val="0"/>
            <w:widowControl w:val="0"/>
            <w:tabs>
              <w:tab w:val="right" w:leader="dot" w:pos="8845"/>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_Toc4059 </w:instrText>
          </w:r>
          <w:r>
            <w:rPr>
              <w:sz w:val="24"/>
              <w:szCs w:val="24"/>
            </w:rPr>
            <w:fldChar w:fldCharType="separate"/>
          </w:r>
          <w:r>
            <w:rPr>
              <w:rFonts w:hint="eastAsia" w:ascii="楷体_GB2312" w:hAnsi="楷体_GB2312" w:eastAsia="楷体_GB2312" w:cs="楷体_GB2312"/>
              <w:bCs/>
              <w:sz w:val="24"/>
              <w:szCs w:val="24"/>
              <w:lang w:val="en-US" w:eastAsia="zh-CN"/>
            </w:rPr>
            <w:t>（五）事故现场情况</w:t>
          </w:r>
          <w:r>
            <w:rPr>
              <w:sz w:val="24"/>
              <w:szCs w:val="24"/>
            </w:rPr>
            <w:tab/>
          </w:r>
          <w:r>
            <w:rPr>
              <w:sz w:val="24"/>
              <w:szCs w:val="24"/>
            </w:rPr>
            <w:fldChar w:fldCharType="begin"/>
          </w:r>
          <w:r>
            <w:rPr>
              <w:sz w:val="24"/>
              <w:szCs w:val="24"/>
            </w:rPr>
            <w:instrText xml:space="preserve"> PAGEREF _Toc4059 \h </w:instrText>
          </w:r>
          <w:r>
            <w:rPr>
              <w:sz w:val="24"/>
              <w:szCs w:val="24"/>
            </w:rPr>
            <w:fldChar w:fldCharType="separate"/>
          </w:r>
          <w:r>
            <w:rPr>
              <w:sz w:val="24"/>
              <w:szCs w:val="24"/>
            </w:rPr>
            <w:t>6</w:t>
          </w:r>
          <w:r>
            <w:rPr>
              <w:sz w:val="24"/>
              <w:szCs w:val="24"/>
            </w:rPr>
            <w:fldChar w:fldCharType="end"/>
          </w:r>
          <w:r>
            <w:rPr>
              <w:sz w:val="24"/>
              <w:szCs w:val="24"/>
            </w:rPr>
            <w:fldChar w:fldCharType="end"/>
          </w:r>
        </w:p>
        <w:p w14:paraId="738737AF">
          <w:pPr>
            <w:pStyle w:val="10"/>
            <w:keepNext w:val="0"/>
            <w:keepLines w:val="0"/>
            <w:pageBreakBefore w:val="0"/>
            <w:widowControl w:val="0"/>
            <w:tabs>
              <w:tab w:val="right" w:leader="dot" w:pos="8845"/>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_Toc6906 </w:instrText>
          </w:r>
          <w:r>
            <w:rPr>
              <w:sz w:val="24"/>
              <w:szCs w:val="24"/>
            </w:rPr>
            <w:fldChar w:fldCharType="separate"/>
          </w:r>
          <w:r>
            <w:rPr>
              <w:rFonts w:hint="eastAsia" w:ascii="楷体_GB2312" w:hAnsi="楷体_GB2312" w:eastAsia="楷体_GB2312" w:cs="楷体_GB2312"/>
              <w:bCs/>
              <w:sz w:val="24"/>
              <w:szCs w:val="24"/>
              <w:lang w:val="en-US" w:eastAsia="zh-CN"/>
            </w:rPr>
            <w:t>（六）人员伤亡和直接经济损失情况</w:t>
          </w:r>
          <w:r>
            <w:rPr>
              <w:sz w:val="24"/>
              <w:szCs w:val="24"/>
            </w:rPr>
            <w:tab/>
          </w:r>
          <w:r>
            <w:rPr>
              <w:sz w:val="24"/>
              <w:szCs w:val="24"/>
            </w:rPr>
            <w:fldChar w:fldCharType="begin"/>
          </w:r>
          <w:r>
            <w:rPr>
              <w:sz w:val="24"/>
              <w:szCs w:val="24"/>
            </w:rPr>
            <w:instrText xml:space="preserve"> PAGEREF _Toc6906 \h </w:instrText>
          </w:r>
          <w:r>
            <w:rPr>
              <w:sz w:val="24"/>
              <w:szCs w:val="24"/>
            </w:rPr>
            <w:fldChar w:fldCharType="separate"/>
          </w:r>
          <w:r>
            <w:rPr>
              <w:sz w:val="24"/>
              <w:szCs w:val="24"/>
            </w:rPr>
            <w:t>9</w:t>
          </w:r>
          <w:r>
            <w:rPr>
              <w:sz w:val="24"/>
              <w:szCs w:val="24"/>
            </w:rPr>
            <w:fldChar w:fldCharType="end"/>
          </w:r>
          <w:r>
            <w:rPr>
              <w:sz w:val="24"/>
              <w:szCs w:val="24"/>
            </w:rPr>
            <w:fldChar w:fldCharType="end"/>
          </w:r>
        </w:p>
        <w:p w14:paraId="5155AE29">
          <w:pPr>
            <w:pStyle w:val="10"/>
            <w:keepNext w:val="0"/>
            <w:keepLines w:val="0"/>
            <w:pageBreakBefore w:val="0"/>
            <w:widowControl w:val="0"/>
            <w:tabs>
              <w:tab w:val="right" w:leader="dot" w:pos="8845"/>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_Toc16378 </w:instrText>
          </w:r>
          <w:r>
            <w:rPr>
              <w:sz w:val="24"/>
              <w:szCs w:val="24"/>
            </w:rPr>
            <w:fldChar w:fldCharType="separate"/>
          </w:r>
          <w:r>
            <w:rPr>
              <w:rFonts w:hint="eastAsia" w:ascii="楷体_GB2312" w:hAnsi="楷体_GB2312" w:eastAsia="楷体_GB2312" w:cs="楷体_GB2312"/>
              <w:bCs/>
              <w:sz w:val="24"/>
              <w:szCs w:val="24"/>
              <w:lang w:val="en-US" w:eastAsia="zh-CN"/>
            </w:rPr>
            <w:t>（七）其他情况</w:t>
          </w:r>
          <w:r>
            <w:rPr>
              <w:sz w:val="24"/>
              <w:szCs w:val="24"/>
            </w:rPr>
            <w:tab/>
          </w:r>
          <w:r>
            <w:rPr>
              <w:sz w:val="24"/>
              <w:szCs w:val="24"/>
            </w:rPr>
            <w:fldChar w:fldCharType="begin"/>
          </w:r>
          <w:r>
            <w:rPr>
              <w:sz w:val="24"/>
              <w:szCs w:val="24"/>
            </w:rPr>
            <w:instrText xml:space="preserve"> PAGEREF _Toc16378 \h </w:instrText>
          </w:r>
          <w:r>
            <w:rPr>
              <w:sz w:val="24"/>
              <w:szCs w:val="24"/>
            </w:rPr>
            <w:fldChar w:fldCharType="separate"/>
          </w:r>
          <w:r>
            <w:rPr>
              <w:sz w:val="24"/>
              <w:szCs w:val="24"/>
            </w:rPr>
            <w:t>9</w:t>
          </w:r>
          <w:r>
            <w:rPr>
              <w:sz w:val="24"/>
              <w:szCs w:val="24"/>
            </w:rPr>
            <w:fldChar w:fldCharType="end"/>
          </w:r>
          <w:r>
            <w:rPr>
              <w:sz w:val="24"/>
              <w:szCs w:val="24"/>
            </w:rPr>
            <w:fldChar w:fldCharType="end"/>
          </w:r>
        </w:p>
        <w:p w14:paraId="79D23288">
          <w:pPr>
            <w:pStyle w:val="8"/>
            <w:keepNext w:val="0"/>
            <w:keepLines w:val="0"/>
            <w:pageBreakBefore w:val="0"/>
            <w:widowControl w:val="0"/>
            <w:tabs>
              <w:tab w:val="right" w:leader="dot" w:pos="8845"/>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_Toc23508 </w:instrText>
          </w:r>
          <w:r>
            <w:rPr>
              <w:sz w:val="24"/>
              <w:szCs w:val="24"/>
            </w:rPr>
            <w:fldChar w:fldCharType="separate"/>
          </w:r>
          <w:r>
            <w:rPr>
              <w:rFonts w:hint="eastAsia" w:ascii="黑体" w:hAnsi="黑体" w:eastAsia="黑体" w:cs="黑体"/>
              <w:sz w:val="24"/>
              <w:szCs w:val="24"/>
              <w:lang w:val="en-US" w:eastAsia="zh-CN"/>
            </w:rPr>
            <w:t>二、事故应急处置及评估情况</w:t>
          </w:r>
          <w:r>
            <w:rPr>
              <w:sz w:val="24"/>
              <w:szCs w:val="24"/>
            </w:rPr>
            <w:tab/>
          </w:r>
          <w:r>
            <w:rPr>
              <w:sz w:val="24"/>
              <w:szCs w:val="24"/>
            </w:rPr>
            <w:fldChar w:fldCharType="begin"/>
          </w:r>
          <w:r>
            <w:rPr>
              <w:sz w:val="24"/>
              <w:szCs w:val="24"/>
            </w:rPr>
            <w:instrText xml:space="preserve"> PAGEREF _Toc23508 \h </w:instrText>
          </w:r>
          <w:r>
            <w:rPr>
              <w:sz w:val="24"/>
              <w:szCs w:val="24"/>
            </w:rPr>
            <w:fldChar w:fldCharType="separate"/>
          </w:r>
          <w:r>
            <w:rPr>
              <w:sz w:val="24"/>
              <w:szCs w:val="24"/>
            </w:rPr>
            <w:t>10</w:t>
          </w:r>
          <w:r>
            <w:rPr>
              <w:sz w:val="24"/>
              <w:szCs w:val="24"/>
            </w:rPr>
            <w:fldChar w:fldCharType="end"/>
          </w:r>
          <w:r>
            <w:rPr>
              <w:sz w:val="24"/>
              <w:szCs w:val="24"/>
            </w:rPr>
            <w:fldChar w:fldCharType="end"/>
          </w:r>
        </w:p>
        <w:p w14:paraId="5FAC80F1">
          <w:pPr>
            <w:pStyle w:val="10"/>
            <w:keepNext w:val="0"/>
            <w:keepLines w:val="0"/>
            <w:pageBreakBefore w:val="0"/>
            <w:widowControl w:val="0"/>
            <w:tabs>
              <w:tab w:val="right" w:leader="dot" w:pos="8845"/>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_Toc21518 </w:instrText>
          </w:r>
          <w:r>
            <w:rPr>
              <w:sz w:val="24"/>
              <w:szCs w:val="24"/>
            </w:rPr>
            <w:fldChar w:fldCharType="separate"/>
          </w:r>
          <w:r>
            <w:rPr>
              <w:rFonts w:hint="eastAsia" w:ascii="楷体_GB2312" w:hAnsi="楷体_GB2312" w:eastAsia="楷体_GB2312" w:cs="楷体_GB2312"/>
              <w:bCs/>
              <w:sz w:val="24"/>
              <w:szCs w:val="24"/>
              <w:lang w:val="en-US" w:eastAsia="zh-CN"/>
            </w:rPr>
            <w:t>（一）事故信息接报及响应情况</w:t>
          </w:r>
          <w:r>
            <w:rPr>
              <w:sz w:val="24"/>
              <w:szCs w:val="24"/>
            </w:rPr>
            <w:tab/>
          </w:r>
          <w:r>
            <w:rPr>
              <w:sz w:val="24"/>
              <w:szCs w:val="24"/>
            </w:rPr>
            <w:fldChar w:fldCharType="begin"/>
          </w:r>
          <w:r>
            <w:rPr>
              <w:sz w:val="24"/>
              <w:szCs w:val="24"/>
            </w:rPr>
            <w:instrText xml:space="preserve"> PAGEREF _Toc21518 \h </w:instrText>
          </w:r>
          <w:r>
            <w:rPr>
              <w:sz w:val="24"/>
              <w:szCs w:val="24"/>
            </w:rPr>
            <w:fldChar w:fldCharType="separate"/>
          </w:r>
          <w:r>
            <w:rPr>
              <w:sz w:val="24"/>
              <w:szCs w:val="24"/>
            </w:rPr>
            <w:t>10</w:t>
          </w:r>
          <w:r>
            <w:rPr>
              <w:sz w:val="24"/>
              <w:szCs w:val="24"/>
            </w:rPr>
            <w:fldChar w:fldCharType="end"/>
          </w:r>
          <w:r>
            <w:rPr>
              <w:sz w:val="24"/>
              <w:szCs w:val="24"/>
            </w:rPr>
            <w:fldChar w:fldCharType="end"/>
          </w:r>
        </w:p>
        <w:p w14:paraId="1864D8CE">
          <w:pPr>
            <w:pStyle w:val="10"/>
            <w:keepNext w:val="0"/>
            <w:keepLines w:val="0"/>
            <w:pageBreakBefore w:val="0"/>
            <w:widowControl w:val="0"/>
            <w:tabs>
              <w:tab w:val="right" w:leader="dot" w:pos="8845"/>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_Toc27138 </w:instrText>
          </w:r>
          <w:r>
            <w:rPr>
              <w:sz w:val="24"/>
              <w:szCs w:val="24"/>
            </w:rPr>
            <w:fldChar w:fldCharType="separate"/>
          </w:r>
          <w:r>
            <w:rPr>
              <w:rFonts w:hint="eastAsia" w:ascii="楷体_GB2312" w:hAnsi="楷体_GB2312" w:eastAsia="楷体_GB2312" w:cs="楷体_GB2312"/>
              <w:bCs/>
              <w:sz w:val="24"/>
              <w:szCs w:val="24"/>
              <w:lang w:val="en-US" w:eastAsia="zh-CN"/>
            </w:rPr>
            <w:t>（二）事故现场应急处置情况</w:t>
          </w:r>
          <w:r>
            <w:rPr>
              <w:sz w:val="24"/>
              <w:szCs w:val="24"/>
            </w:rPr>
            <w:tab/>
          </w:r>
          <w:r>
            <w:rPr>
              <w:sz w:val="24"/>
              <w:szCs w:val="24"/>
            </w:rPr>
            <w:fldChar w:fldCharType="begin"/>
          </w:r>
          <w:r>
            <w:rPr>
              <w:sz w:val="24"/>
              <w:szCs w:val="24"/>
            </w:rPr>
            <w:instrText xml:space="preserve"> PAGEREF _Toc27138 \h </w:instrText>
          </w:r>
          <w:r>
            <w:rPr>
              <w:sz w:val="24"/>
              <w:szCs w:val="24"/>
            </w:rPr>
            <w:fldChar w:fldCharType="separate"/>
          </w:r>
          <w:r>
            <w:rPr>
              <w:sz w:val="24"/>
              <w:szCs w:val="24"/>
            </w:rPr>
            <w:t>10</w:t>
          </w:r>
          <w:r>
            <w:rPr>
              <w:sz w:val="24"/>
              <w:szCs w:val="24"/>
            </w:rPr>
            <w:fldChar w:fldCharType="end"/>
          </w:r>
          <w:r>
            <w:rPr>
              <w:sz w:val="24"/>
              <w:szCs w:val="24"/>
            </w:rPr>
            <w:fldChar w:fldCharType="end"/>
          </w:r>
        </w:p>
        <w:p w14:paraId="3D57046B">
          <w:pPr>
            <w:pStyle w:val="10"/>
            <w:keepNext w:val="0"/>
            <w:keepLines w:val="0"/>
            <w:pageBreakBefore w:val="0"/>
            <w:widowControl w:val="0"/>
            <w:tabs>
              <w:tab w:val="right" w:leader="dot" w:pos="8845"/>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_Toc8045 </w:instrText>
          </w:r>
          <w:r>
            <w:rPr>
              <w:sz w:val="24"/>
              <w:szCs w:val="24"/>
            </w:rPr>
            <w:fldChar w:fldCharType="separate"/>
          </w:r>
          <w:r>
            <w:rPr>
              <w:rFonts w:hint="eastAsia" w:ascii="楷体_GB2312" w:hAnsi="楷体_GB2312" w:eastAsia="楷体_GB2312" w:cs="楷体_GB2312"/>
              <w:bCs/>
              <w:sz w:val="24"/>
              <w:szCs w:val="24"/>
              <w:lang w:val="en-US" w:eastAsia="zh-CN"/>
            </w:rPr>
            <w:t>（三）事故应急处置评估</w:t>
          </w:r>
          <w:r>
            <w:rPr>
              <w:sz w:val="24"/>
              <w:szCs w:val="24"/>
            </w:rPr>
            <w:tab/>
          </w:r>
          <w:r>
            <w:rPr>
              <w:sz w:val="24"/>
              <w:szCs w:val="24"/>
            </w:rPr>
            <w:fldChar w:fldCharType="begin"/>
          </w:r>
          <w:r>
            <w:rPr>
              <w:sz w:val="24"/>
              <w:szCs w:val="24"/>
            </w:rPr>
            <w:instrText xml:space="preserve"> PAGEREF _Toc8045 \h </w:instrText>
          </w:r>
          <w:r>
            <w:rPr>
              <w:sz w:val="24"/>
              <w:szCs w:val="24"/>
            </w:rPr>
            <w:fldChar w:fldCharType="separate"/>
          </w:r>
          <w:r>
            <w:rPr>
              <w:sz w:val="24"/>
              <w:szCs w:val="24"/>
            </w:rPr>
            <w:t>10</w:t>
          </w:r>
          <w:r>
            <w:rPr>
              <w:sz w:val="24"/>
              <w:szCs w:val="24"/>
            </w:rPr>
            <w:fldChar w:fldCharType="end"/>
          </w:r>
          <w:r>
            <w:rPr>
              <w:sz w:val="24"/>
              <w:szCs w:val="24"/>
            </w:rPr>
            <w:fldChar w:fldCharType="end"/>
          </w:r>
        </w:p>
        <w:p w14:paraId="044A3725">
          <w:pPr>
            <w:pStyle w:val="8"/>
            <w:keepNext w:val="0"/>
            <w:keepLines w:val="0"/>
            <w:pageBreakBefore w:val="0"/>
            <w:widowControl w:val="0"/>
            <w:tabs>
              <w:tab w:val="right" w:leader="dot" w:pos="8845"/>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_Toc32712 </w:instrText>
          </w:r>
          <w:r>
            <w:rPr>
              <w:sz w:val="24"/>
              <w:szCs w:val="24"/>
            </w:rPr>
            <w:fldChar w:fldCharType="separate"/>
          </w:r>
          <w:r>
            <w:rPr>
              <w:rFonts w:hint="eastAsia" w:ascii="黑体" w:hAnsi="黑体" w:eastAsia="黑体" w:cs="黑体"/>
              <w:sz w:val="24"/>
              <w:szCs w:val="24"/>
              <w:lang w:val="en-US" w:eastAsia="zh-CN"/>
            </w:rPr>
            <w:t>三、事故原因分析</w:t>
          </w:r>
          <w:r>
            <w:rPr>
              <w:sz w:val="24"/>
              <w:szCs w:val="24"/>
            </w:rPr>
            <w:tab/>
          </w:r>
          <w:r>
            <w:rPr>
              <w:sz w:val="24"/>
              <w:szCs w:val="24"/>
            </w:rPr>
            <w:fldChar w:fldCharType="begin"/>
          </w:r>
          <w:r>
            <w:rPr>
              <w:sz w:val="24"/>
              <w:szCs w:val="24"/>
            </w:rPr>
            <w:instrText xml:space="preserve"> PAGEREF _Toc32712 \h </w:instrText>
          </w:r>
          <w:r>
            <w:rPr>
              <w:sz w:val="24"/>
              <w:szCs w:val="24"/>
            </w:rPr>
            <w:fldChar w:fldCharType="separate"/>
          </w:r>
          <w:r>
            <w:rPr>
              <w:sz w:val="24"/>
              <w:szCs w:val="24"/>
            </w:rPr>
            <w:t>11</w:t>
          </w:r>
          <w:r>
            <w:rPr>
              <w:sz w:val="24"/>
              <w:szCs w:val="24"/>
            </w:rPr>
            <w:fldChar w:fldCharType="end"/>
          </w:r>
          <w:r>
            <w:rPr>
              <w:sz w:val="24"/>
              <w:szCs w:val="24"/>
            </w:rPr>
            <w:fldChar w:fldCharType="end"/>
          </w:r>
        </w:p>
        <w:p w14:paraId="4E89C7F2">
          <w:pPr>
            <w:pStyle w:val="10"/>
            <w:keepNext w:val="0"/>
            <w:keepLines w:val="0"/>
            <w:pageBreakBefore w:val="0"/>
            <w:widowControl w:val="0"/>
            <w:tabs>
              <w:tab w:val="right" w:leader="dot" w:pos="8845"/>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_Toc27028 </w:instrText>
          </w:r>
          <w:r>
            <w:rPr>
              <w:sz w:val="24"/>
              <w:szCs w:val="24"/>
            </w:rPr>
            <w:fldChar w:fldCharType="separate"/>
          </w:r>
          <w:r>
            <w:rPr>
              <w:rFonts w:hint="eastAsia" w:ascii="楷体_GB2312" w:hAnsi="楷体_GB2312" w:eastAsia="楷体_GB2312" w:cs="楷体_GB2312"/>
              <w:bCs/>
              <w:sz w:val="24"/>
              <w:szCs w:val="24"/>
              <w:lang w:val="en-US" w:eastAsia="zh-CN"/>
            </w:rPr>
            <w:t>（一）直接原因分析</w:t>
          </w:r>
          <w:r>
            <w:rPr>
              <w:sz w:val="24"/>
              <w:szCs w:val="24"/>
            </w:rPr>
            <w:tab/>
          </w:r>
          <w:r>
            <w:rPr>
              <w:sz w:val="24"/>
              <w:szCs w:val="24"/>
            </w:rPr>
            <w:fldChar w:fldCharType="begin"/>
          </w:r>
          <w:r>
            <w:rPr>
              <w:sz w:val="24"/>
              <w:szCs w:val="24"/>
            </w:rPr>
            <w:instrText xml:space="preserve"> PAGEREF _Toc27028 \h </w:instrText>
          </w:r>
          <w:r>
            <w:rPr>
              <w:sz w:val="24"/>
              <w:szCs w:val="24"/>
            </w:rPr>
            <w:fldChar w:fldCharType="separate"/>
          </w:r>
          <w:r>
            <w:rPr>
              <w:sz w:val="24"/>
              <w:szCs w:val="24"/>
            </w:rPr>
            <w:t>11</w:t>
          </w:r>
          <w:r>
            <w:rPr>
              <w:sz w:val="24"/>
              <w:szCs w:val="24"/>
            </w:rPr>
            <w:fldChar w:fldCharType="end"/>
          </w:r>
          <w:r>
            <w:rPr>
              <w:sz w:val="24"/>
              <w:szCs w:val="24"/>
            </w:rPr>
            <w:fldChar w:fldCharType="end"/>
          </w:r>
        </w:p>
        <w:p w14:paraId="3709F531">
          <w:pPr>
            <w:pStyle w:val="10"/>
            <w:keepNext w:val="0"/>
            <w:keepLines w:val="0"/>
            <w:pageBreakBefore w:val="0"/>
            <w:widowControl w:val="0"/>
            <w:tabs>
              <w:tab w:val="right" w:leader="dot" w:pos="8845"/>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_Toc9607 </w:instrText>
          </w:r>
          <w:r>
            <w:rPr>
              <w:sz w:val="24"/>
              <w:szCs w:val="24"/>
            </w:rPr>
            <w:fldChar w:fldCharType="separate"/>
          </w:r>
          <w:r>
            <w:rPr>
              <w:rFonts w:hint="eastAsia" w:ascii="楷体_GB2312" w:hAnsi="楷体_GB2312" w:eastAsia="楷体_GB2312" w:cs="楷体_GB2312"/>
              <w:bCs/>
              <w:sz w:val="24"/>
              <w:szCs w:val="24"/>
              <w:lang w:val="en-US" w:eastAsia="zh-CN"/>
            </w:rPr>
            <w:t>（二）间接原因分析</w:t>
          </w:r>
          <w:r>
            <w:rPr>
              <w:sz w:val="24"/>
              <w:szCs w:val="24"/>
            </w:rPr>
            <w:tab/>
          </w:r>
          <w:r>
            <w:rPr>
              <w:sz w:val="24"/>
              <w:szCs w:val="24"/>
            </w:rPr>
            <w:fldChar w:fldCharType="begin"/>
          </w:r>
          <w:r>
            <w:rPr>
              <w:sz w:val="24"/>
              <w:szCs w:val="24"/>
            </w:rPr>
            <w:instrText xml:space="preserve"> PAGEREF _Toc9607 \h </w:instrText>
          </w:r>
          <w:r>
            <w:rPr>
              <w:sz w:val="24"/>
              <w:szCs w:val="24"/>
            </w:rPr>
            <w:fldChar w:fldCharType="separate"/>
          </w:r>
          <w:r>
            <w:rPr>
              <w:sz w:val="24"/>
              <w:szCs w:val="24"/>
            </w:rPr>
            <w:t>11</w:t>
          </w:r>
          <w:r>
            <w:rPr>
              <w:sz w:val="24"/>
              <w:szCs w:val="24"/>
            </w:rPr>
            <w:fldChar w:fldCharType="end"/>
          </w:r>
          <w:r>
            <w:rPr>
              <w:sz w:val="24"/>
              <w:szCs w:val="24"/>
            </w:rPr>
            <w:fldChar w:fldCharType="end"/>
          </w:r>
        </w:p>
        <w:p w14:paraId="2FA3FDD5">
          <w:pPr>
            <w:pStyle w:val="8"/>
            <w:keepNext w:val="0"/>
            <w:keepLines w:val="0"/>
            <w:pageBreakBefore w:val="0"/>
            <w:widowControl w:val="0"/>
            <w:tabs>
              <w:tab w:val="right" w:leader="dot" w:pos="8845"/>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_Toc22479 </w:instrText>
          </w:r>
          <w:r>
            <w:rPr>
              <w:sz w:val="24"/>
              <w:szCs w:val="24"/>
            </w:rPr>
            <w:fldChar w:fldCharType="separate"/>
          </w:r>
          <w:r>
            <w:rPr>
              <w:rFonts w:hint="eastAsia" w:ascii="黑体" w:hAnsi="黑体" w:eastAsia="黑体" w:cs="黑体"/>
              <w:sz w:val="24"/>
              <w:szCs w:val="24"/>
              <w:lang w:val="en-US" w:eastAsia="zh-CN"/>
            </w:rPr>
            <w:t>四、有关责任单位存在的主要问题</w:t>
          </w:r>
          <w:r>
            <w:rPr>
              <w:sz w:val="24"/>
              <w:szCs w:val="24"/>
            </w:rPr>
            <w:tab/>
          </w:r>
          <w:r>
            <w:rPr>
              <w:sz w:val="24"/>
              <w:szCs w:val="24"/>
            </w:rPr>
            <w:fldChar w:fldCharType="begin"/>
          </w:r>
          <w:r>
            <w:rPr>
              <w:sz w:val="24"/>
              <w:szCs w:val="24"/>
            </w:rPr>
            <w:instrText xml:space="preserve"> PAGEREF _Toc22479 \h </w:instrText>
          </w:r>
          <w:r>
            <w:rPr>
              <w:sz w:val="24"/>
              <w:szCs w:val="24"/>
            </w:rPr>
            <w:fldChar w:fldCharType="separate"/>
          </w:r>
          <w:r>
            <w:rPr>
              <w:sz w:val="24"/>
              <w:szCs w:val="24"/>
            </w:rPr>
            <w:t>13</w:t>
          </w:r>
          <w:r>
            <w:rPr>
              <w:sz w:val="24"/>
              <w:szCs w:val="24"/>
            </w:rPr>
            <w:fldChar w:fldCharType="end"/>
          </w:r>
          <w:r>
            <w:rPr>
              <w:sz w:val="24"/>
              <w:szCs w:val="24"/>
            </w:rPr>
            <w:fldChar w:fldCharType="end"/>
          </w:r>
        </w:p>
        <w:p w14:paraId="6B3E2F3E">
          <w:pPr>
            <w:pStyle w:val="10"/>
            <w:keepNext w:val="0"/>
            <w:keepLines w:val="0"/>
            <w:pageBreakBefore w:val="0"/>
            <w:widowControl w:val="0"/>
            <w:tabs>
              <w:tab w:val="right" w:leader="dot" w:pos="8845"/>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_Toc14040 </w:instrText>
          </w:r>
          <w:r>
            <w:rPr>
              <w:sz w:val="24"/>
              <w:szCs w:val="24"/>
            </w:rPr>
            <w:fldChar w:fldCharType="separate"/>
          </w:r>
          <w:r>
            <w:rPr>
              <w:rFonts w:hint="eastAsia" w:ascii="楷体_GB2312" w:hAnsi="楷体_GB2312" w:eastAsia="楷体_GB2312" w:cs="楷体_GB2312"/>
              <w:bCs/>
              <w:sz w:val="24"/>
              <w:szCs w:val="24"/>
              <w:lang w:val="en-US" w:eastAsia="zh-CN"/>
            </w:rPr>
            <w:t>（一）事故单位</w:t>
          </w:r>
          <w:r>
            <w:rPr>
              <w:sz w:val="24"/>
              <w:szCs w:val="24"/>
            </w:rPr>
            <w:tab/>
          </w:r>
          <w:r>
            <w:rPr>
              <w:sz w:val="24"/>
              <w:szCs w:val="24"/>
            </w:rPr>
            <w:fldChar w:fldCharType="begin"/>
          </w:r>
          <w:r>
            <w:rPr>
              <w:sz w:val="24"/>
              <w:szCs w:val="24"/>
            </w:rPr>
            <w:instrText xml:space="preserve"> PAGEREF _Toc14040 \h </w:instrText>
          </w:r>
          <w:r>
            <w:rPr>
              <w:sz w:val="24"/>
              <w:szCs w:val="24"/>
            </w:rPr>
            <w:fldChar w:fldCharType="separate"/>
          </w:r>
          <w:r>
            <w:rPr>
              <w:sz w:val="24"/>
              <w:szCs w:val="24"/>
            </w:rPr>
            <w:t>13</w:t>
          </w:r>
          <w:r>
            <w:rPr>
              <w:sz w:val="24"/>
              <w:szCs w:val="24"/>
            </w:rPr>
            <w:fldChar w:fldCharType="end"/>
          </w:r>
          <w:r>
            <w:rPr>
              <w:sz w:val="24"/>
              <w:szCs w:val="24"/>
            </w:rPr>
            <w:fldChar w:fldCharType="end"/>
          </w:r>
        </w:p>
        <w:p w14:paraId="7D841A13">
          <w:pPr>
            <w:pStyle w:val="10"/>
            <w:keepNext w:val="0"/>
            <w:keepLines w:val="0"/>
            <w:pageBreakBefore w:val="0"/>
            <w:widowControl w:val="0"/>
            <w:tabs>
              <w:tab w:val="right" w:leader="dot" w:pos="8845"/>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_Toc1381 </w:instrText>
          </w:r>
          <w:r>
            <w:rPr>
              <w:sz w:val="24"/>
              <w:szCs w:val="24"/>
            </w:rPr>
            <w:fldChar w:fldCharType="separate"/>
          </w:r>
          <w:r>
            <w:rPr>
              <w:rFonts w:hint="eastAsia" w:ascii="楷体_GB2312" w:hAnsi="楷体_GB2312" w:eastAsia="楷体_GB2312" w:cs="楷体_GB2312"/>
              <w:bCs/>
              <w:sz w:val="24"/>
              <w:szCs w:val="24"/>
              <w:lang w:val="en-US" w:eastAsia="zh-CN"/>
            </w:rPr>
            <w:t>（二）有关监管部门</w:t>
          </w:r>
          <w:r>
            <w:rPr>
              <w:sz w:val="24"/>
              <w:szCs w:val="24"/>
            </w:rPr>
            <w:tab/>
          </w:r>
          <w:r>
            <w:rPr>
              <w:sz w:val="24"/>
              <w:szCs w:val="24"/>
            </w:rPr>
            <w:fldChar w:fldCharType="begin"/>
          </w:r>
          <w:r>
            <w:rPr>
              <w:sz w:val="24"/>
              <w:szCs w:val="24"/>
            </w:rPr>
            <w:instrText xml:space="preserve"> PAGEREF _Toc1381 \h </w:instrText>
          </w:r>
          <w:r>
            <w:rPr>
              <w:sz w:val="24"/>
              <w:szCs w:val="24"/>
            </w:rPr>
            <w:fldChar w:fldCharType="separate"/>
          </w:r>
          <w:r>
            <w:rPr>
              <w:sz w:val="24"/>
              <w:szCs w:val="24"/>
            </w:rPr>
            <w:t>14</w:t>
          </w:r>
          <w:r>
            <w:rPr>
              <w:sz w:val="24"/>
              <w:szCs w:val="24"/>
            </w:rPr>
            <w:fldChar w:fldCharType="end"/>
          </w:r>
          <w:r>
            <w:rPr>
              <w:sz w:val="24"/>
              <w:szCs w:val="24"/>
            </w:rPr>
            <w:fldChar w:fldCharType="end"/>
          </w:r>
        </w:p>
        <w:p w14:paraId="4FA82496">
          <w:pPr>
            <w:pStyle w:val="8"/>
            <w:keepNext w:val="0"/>
            <w:keepLines w:val="0"/>
            <w:pageBreakBefore w:val="0"/>
            <w:widowControl w:val="0"/>
            <w:tabs>
              <w:tab w:val="right" w:leader="dot" w:pos="8845"/>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_Toc25107 </w:instrText>
          </w:r>
          <w:r>
            <w:rPr>
              <w:sz w:val="24"/>
              <w:szCs w:val="24"/>
            </w:rPr>
            <w:fldChar w:fldCharType="separate"/>
          </w:r>
          <w:r>
            <w:rPr>
              <w:rFonts w:hint="eastAsia" w:ascii="黑体" w:hAnsi="黑体" w:eastAsia="黑体" w:cs="黑体"/>
              <w:sz w:val="24"/>
              <w:szCs w:val="24"/>
              <w:lang w:val="en-US" w:eastAsia="zh-CN"/>
            </w:rPr>
            <w:t>五、对有关责任人员和责任单位的处理建议</w:t>
          </w:r>
          <w:r>
            <w:rPr>
              <w:sz w:val="24"/>
              <w:szCs w:val="24"/>
            </w:rPr>
            <w:tab/>
          </w:r>
          <w:r>
            <w:rPr>
              <w:sz w:val="24"/>
              <w:szCs w:val="24"/>
            </w:rPr>
            <w:fldChar w:fldCharType="begin"/>
          </w:r>
          <w:r>
            <w:rPr>
              <w:sz w:val="24"/>
              <w:szCs w:val="24"/>
            </w:rPr>
            <w:instrText xml:space="preserve"> PAGEREF _Toc25107 \h </w:instrText>
          </w:r>
          <w:r>
            <w:rPr>
              <w:sz w:val="24"/>
              <w:szCs w:val="24"/>
            </w:rPr>
            <w:fldChar w:fldCharType="separate"/>
          </w:r>
          <w:r>
            <w:rPr>
              <w:sz w:val="24"/>
              <w:szCs w:val="24"/>
            </w:rPr>
            <w:t>14</w:t>
          </w:r>
          <w:r>
            <w:rPr>
              <w:sz w:val="24"/>
              <w:szCs w:val="24"/>
            </w:rPr>
            <w:fldChar w:fldCharType="end"/>
          </w:r>
          <w:r>
            <w:rPr>
              <w:sz w:val="24"/>
              <w:szCs w:val="24"/>
            </w:rPr>
            <w:fldChar w:fldCharType="end"/>
          </w:r>
        </w:p>
        <w:p w14:paraId="15BDC107">
          <w:pPr>
            <w:pStyle w:val="10"/>
            <w:keepNext w:val="0"/>
            <w:keepLines w:val="0"/>
            <w:pageBreakBefore w:val="0"/>
            <w:widowControl w:val="0"/>
            <w:tabs>
              <w:tab w:val="right" w:leader="dot" w:pos="8845"/>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_Toc24027 </w:instrText>
          </w:r>
          <w:r>
            <w:rPr>
              <w:sz w:val="24"/>
              <w:szCs w:val="24"/>
            </w:rPr>
            <w:fldChar w:fldCharType="separate"/>
          </w:r>
          <w:r>
            <w:rPr>
              <w:rFonts w:hint="eastAsia" w:ascii="楷体_GB2312" w:hAnsi="楷体_GB2312" w:eastAsia="楷体_GB2312" w:cs="楷体_GB2312"/>
              <w:bCs/>
              <w:sz w:val="24"/>
              <w:szCs w:val="24"/>
              <w:lang w:val="en-US" w:eastAsia="zh-CN"/>
            </w:rPr>
            <w:t>（一）因在事故中死亡免予追究责任人员</w:t>
          </w:r>
          <w:r>
            <w:rPr>
              <w:sz w:val="24"/>
              <w:szCs w:val="24"/>
            </w:rPr>
            <w:tab/>
          </w:r>
          <w:r>
            <w:rPr>
              <w:sz w:val="24"/>
              <w:szCs w:val="24"/>
            </w:rPr>
            <w:fldChar w:fldCharType="begin"/>
          </w:r>
          <w:r>
            <w:rPr>
              <w:sz w:val="24"/>
              <w:szCs w:val="24"/>
            </w:rPr>
            <w:instrText xml:space="preserve"> PAGEREF _Toc24027 \h </w:instrText>
          </w:r>
          <w:r>
            <w:rPr>
              <w:sz w:val="24"/>
              <w:szCs w:val="24"/>
            </w:rPr>
            <w:fldChar w:fldCharType="separate"/>
          </w:r>
          <w:r>
            <w:rPr>
              <w:sz w:val="24"/>
              <w:szCs w:val="24"/>
            </w:rPr>
            <w:t>14</w:t>
          </w:r>
          <w:r>
            <w:rPr>
              <w:sz w:val="24"/>
              <w:szCs w:val="24"/>
            </w:rPr>
            <w:fldChar w:fldCharType="end"/>
          </w:r>
          <w:r>
            <w:rPr>
              <w:sz w:val="24"/>
              <w:szCs w:val="24"/>
            </w:rPr>
            <w:fldChar w:fldCharType="end"/>
          </w:r>
        </w:p>
        <w:p w14:paraId="07DCA31F">
          <w:pPr>
            <w:pStyle w:val="10"/>
            <w:keepNext w:val="0"/>
            <w:keepLines w:val="0"/>
            <w:pageBreakBefore w:val="0"/>
            <w:widowControl w:val="0"/>
            <w:tabs>
              <w:tab w:val="right" w:leader="dot" w:pos="8845"/>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_Toc28669 </w:instrText>
          </w:r>
          <w:r>
            <w:rPr>
              <w:sz w:val="24"/>
              <w:szCs w:val="24"/>
            </w:rPr>
            <w:fldChar w:fldCharType="separate"/>
          </w:r>
          <w:r>
            <w:rPr>
              <w:rFonts w:hint="eastAsia" w:ascii="楷体_GB2312" w:hAnsi="楷体_GB2312" w:eastAsia="楷体_GB2312" w:cs="楷体_GB2312"/>
              <w:bCs/>
              <w:sz w:val="24"/>
              <w:szCs w:val="24"/>
              <w:lang w:val="en-US" w:eastAsia="zh-CN"/>
            </w:rPr>
            <w:t>（二）建议移送司法机关处理的人员</w:t>
          </w:r>
          <w:r>
            <w:rPr>
              <w:sz w:val="24"/>
              <w:szCs w:val="24"/>
            </w:rPr>
            <w:tab/>
          </w:r>
          <w:r>
            <w:rPr>
              <w:sz w:val="24"/>
              <w:szCs w:val="24"/>
            </w:rPr>
            <w:fldChar w:fldCharType="begin"/>
          </w:r>
          <w:r>
            <w:rPr>
              <w:sz w:val="24"/>
              <w:szCs w:val="24"/>
            </w:rPr>
            <w:instrText xml:space="preserve"> PAGEREF _Toc28669 \h </w:instrText>
          </w:r>
          <w:r>
            <w:rPr>
              <w:sz w:val="24"/>
              <w:szCs w:val="24"/>
            </w:rPr>
            <w:fldChar w:fldCharType="separate"/>
          </w:r>
          <w:r>
            <w:rPr>
              <w:sz w:val="24"/>
              <w:szCs w:val="24"/>
            </w:rPr>
            <w:t>14</w:t>
          </w:r>
          <w:r>
            <w:rPr>
              <w:sz w:val="24"/>
              <w:szCs w:val="24"/>
            </w:rPr>
            <w:fldChar w:fldCharType="end"/>
          </w:r>
          <w:r>
            <w:rPr>
              <w:sz w:val="24"/>
              <w:szCs w:val="24"/>
            </w:rPr>
            <w:fldChar w:fldCharType="end"/>
          </w:r>
        </w:p>
        <w:p w14:paraId="7FF6A975">
          <w:pPr>
            <w:pStyle w:val="10"/>
            <w:keepNext w:val="0"/>
            <w:keepLines w:val="0"/>
            <w:pageBreakBefore w:val="0"/>
            <w:widowControl w:val="0"/>
            <w:tabs>
              <w:tab w:val="right" w:leader="dot" w:pos="8845"/>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_Toc14425 </w:instrText>
          </w:r>
          <w:r>
            <w:rPr>
              <w:sz w:val="24"/>
              <w:szCs w:val="24"/>
            </w:rPr>
            <w:fldChar w:fldCharType="separate"/>
          </w:r>
          <w:r>
            <w:rPr>
              <w:rFonts w:hint="eastAsia" w:ascii="楷体_GB2312" w:hAnsi="楷体_GB2312" w:eastAsia="楷体_GB2312" w:cs="楷体_GB2312"/>
              <w:bCs/>
              <w:sz w:val="24"/>
              <w:szCs w:val="24"/>
              <w:lang w:val="en-US" w:eastAsia="zh-CN"/>
            </w:rPr>
            <w:t>（三）对事故有关责任人员和责任单位的处理建议</w:t>
          </w:r>
          <w:r>
            <w:rPr>
              <w:sz w:val="24"/>
              <w:szCs w:val="24"/>
            </w:rPr>
            <w:tab/>
          </w:r>
          <w:r>
            <w:rPr>
              <w:sz w:val="24"/>
              <w:szCs w:val="24"/>
            </w:rPr>
            <w:fldChar w:fldCharType="begin"/>
          </w:r>
          <w:r>
            <w:rPr>
              <w:sz w:val="24"/>
              <w:szCs w:val="24"/>
            </w:rPr>
            <w:instrText xml:space="preserve"> PAGEREF _Toc14425 \h </w:instrText>
          </w:r>
          <w:r>
            <w:rPr>
              <w:sz w:val="24"/>
              <w:szCs w:val="24"/>
            </w:rPr>
            <w:fldChar w:fldCharType="separate"/>
          </w:r>
          <w:r>
            <w:rPr>
              <w:sz w:val="24"/>
              <w:szCs w:val="24"/>
            </w:rPr>
            <w:t>14</w:t>
          </w:r>
          <w:r>
            <w:rPr>
              <w:sz w:val="24"/>
              <w:szCs w:val="24"/>
            </w:rPr>
            <w:fldChar w:fldCharType="end"/>
          </w:r>
          <w:r>
            <w:rPr>
              <w:sz w:val="24"/>
              <w:szCs w:val="24"/>
            </w:rPr>
            <w:fldChar w:fldCharType="end"/>
          </w:r>
        </w:p>
        <w:p w14:paraId="75F1D1AD">
          <w:pPr>
            <w:pStyle w:val="10"/>
            <w:keepNext w:val="0"/>
            <w:keepLines w:val="0"/>
            <w:pageBreakBefore w:val="0"/>
            <w:widowControl w:val="0"/>
            <w:tabs>
              <w:tab w:val="right" w:leader="dot" w:pos="8845"/>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_Toc10978 </w:instrText>
          </w:r>
          <w:r>
            <w:rPr>
              <w:sz w:val="24"/>
              <w:szCs w:val="24"/>
            </w:rPr>
            <w:fldChar w:fldCharType="separate"/>
          </w:r>
          <w:r>
            <w:rPr>
              <w:rFonts w:hint="eastAsia" w:ascii="楷体_GB2312" w:hAnsi="楷体_GB2312" w:eastAsia="楷体_GB2312" w:cs="楷体_GB2312"/>
              <w:bCs/>
              <w:sz w:val="24"/>
              <w:szCs w:val="24"/>
              <w:lang w:val="en-US" w:eastAsia="zh-CN"/>
            </w:rPr>
            <w:t>（四）其他处理建议</w:t>
          </w:r>
          <w:r>
            <w:rPr>
              <w:sz w:val="24"/>
              <w:szCs w:val="24"/>
            </w:rPr>
            <w:tab/>
          </w:r>
          <w:r>
            <w:rPr>
              <w:sz w:val="24"/>
              <w:szCs w:val="24"/>
            </w:rPr>
            <w:fldChar w:fldCharType="begin"/>
          </w:r>
          <w:r>
            <w:rPr>
              <w:sz w:val="24"/>
              <w:szCs w:val="24"/>
            </w:rPr>
            <w:instrText xml:space="preserve"> PAGEREF _Toc10978 \h </w:instrText>
          </w:r>
          <w:r>
            <w:rPr>
              <w:sz w:val="24"/>
              <w:szCs w:val="24"/>
            </w:rPr>
            <w:fldChar w:fldCharType="separate"/>
          </w:r>
          <w:r>
            <w:rPr>
              <w:sz w:val="24"/>
              <w:szCs w:val="24"/>
            </w:rPr>
            <w:t>18</w:t>
          </w:r>
          <w:r>
            <w:rPr>
              <w:sz w:val="24"/>
              <w:szCs w:val="24"/>
            </w:rPr>
            <w:fldChar w:fldCharType="end"/>
          </w:r>
          <w:r>
            <w:rPr>
              <w:sz w:val="24"/>
              <w:szCs w:val="24"/>
            </w:rPr>
            <w:fldChar w:fldCharType="end"/>
          </w:r>
        </w:p>
        <w:p w14:paraId="6F0D2E1B">
          <w:pPr>
            <w:pStyle w:val="8"/>
            <w:keepNext w:val="0"/>
            <w:keepLines w:val="0"/>
            <w:pageBreakBefore w:val="0"/>
            <w:widowControl w:val="0"/>
            <w:tabs>
              <w:tab w:val="right" w:leader="dot" w:pos="8845"/>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_Toc2938 </w:instrText>
          </w:r>
          <w:r>
            <w:rPr>
              <w:sz w:val="24"/>
              <w:szCs w:val="24"/>
            </w:rPr>
            <w:fldChar w:fldCharType="separate"/>
          </w:r>
          <w:r>
            <w:rPr>
              <w:rFonts w:hint="eastAsia" w:ascii="黑体" w:hAnsi="黑体" w:eastAsia="黑体" w:cs="黑体"/>
              <w:sz w:val="24"/>
              <w:szCs w:val="24"/>
              <w:lang w:val="en-US" w:eastAsia="zh-CN"/>
            </w:rPr>
            <w:t>六、事故主要教训</w:t>
          </w:r>
          <w:r>
            <w:rPr>
              <w:sz w:val="24"/>
              <w:szCs w:val="24"/>
            </w:rPr>
            <w:tab/>
          </w:r>
          <w:r>
            <w:rPr>
              <w:sz w:val="24"/>
              <w:szCs w:val="24"/>
            </w:rPr>
            <w:fldChar w:fldCharType="begin"/>
          </w:r>
          <w:r>
            <w:rPr>
              <w:sz w:val="24"/>
              <w:szCs w:val="24"/>
            </w:rPr>
            <w:instrText xml:space="preserve"> PAGEREF _Toc2938 \h </w:instrText>
          </w:r>
          <w:r>
            <w:rPr>
              <w:sz w:val="24"/>
              <w:szCs w:val="24"/>
            </w:rPr>
            <w:fldChar w:fldCharType="separate"/>
          </w:r>
          <w:r>
            <w:rPr>
              <w:sz w:val="24"/>
              <w:szCs w:val="24"/>
            </w:rPr>
            <w:t>19</w:t>
          </w:r>
          <w:r>
            <w:rPr>
              <w:sz w:val="24"/>
              <w:szCs w:val="24"/>
            </w:rPr>
            <w:fldChar w:fldCharType="end"/>
          </w:r>
          <w:r>
            <w:rPr>
              <w:sz w:val="24"/>
              <w:szCs w:val="24"/>
            </w:rPr>
            <w:fldChar w:fldCharType="end"/>
          </w:r>
        </w:p>
        <w:p w14:paraId="38F981A5">
          <w:pPr>
            <w:pStyle w:val="8"/>
            <w:keepNext w:val="0"/>
            <w:keepLines w:val="0"/>
            <w:pageBreakBefore w:val="0"/>
            <w:widowControl w:val="0"/>
            <w:tabs>
              <w:tab w:val="right" w:leader="dot" w:pos="8845"/>
            </w:tabs>
            <w:kinsoku/>
            <w:wordWrap/>
            <w:overflowPunct/>
            <w:topLinePunct w:val="0"/>
            <w:autoSpaceDE/>
            <w:autoSpaceDN/>
            <w:bidi w:val="0"/>
            <w:adjustRightInd/>
            <w:snapToGrid/>
            <w:spacing w:line="360" w:lineRule="auto"/>
            <w:textAlignment w:val="auto"/>
          </w:pPr>
          <w:r>
            <w:rPr>
              <w:sz w:val="24"/>
              <w:szCs w:val="24"/>
            </w:rPr>
            <w:fldChar w:fldCharType="begin"/>
          </w:r>
          <w:r>
            <w:rPr>
              <w:sz w:val="24"/>
              <w:szCs w:val="24"/>
            </w:rPr>
            <w:instrText xml:space="preserve"> HYPERLINK \l _Toc17118 </w:instrText>
          </w:r>
          <w:r>
            <w:rPr>
              <w:sz w:val="24"/>
              <w:szCs w:val="24"/>
            </w:rPr>
            <w:fldChar w:fldCharType="separate"/>
          </w:r>
          <w:r>
            <w:rPr>
              <w:rFonts w:hint="eastAsia" w:ascii="黑体" w:hAnsi="黑体" w:eastAsia="黑体" w:cs="黑体"/>
              <w:sz w:val="24"/>
              <w:szCs w:val="24"/>
              <w:lang w:val="en-US" w:eastAsia="zh-CN"/>
            </w:rPr>
            <w:t>七、事故整改和防范措施</w:t>
          </w:r>
          <w:r>
            <w:rPr>
              <w:sz w:val="24"/>
              <w:szCs w:val="24"/>
            </w:rPr>
            <w:tab/>
          </w:r>
          <w:r>
            <w:rPr>
              <w:sz w:val="24"/>
              <w:szCs w:val="24"/>
            </w:rPr>
            <w:fldChar w:fldCharType="begin"/>
          </w:r>
          <w:r>
            <w:rPr>
              <w:sz w:val="24"/>
              <w:szCs w:val="24"/>
            </w:rPr>
            <w:instrText xml:space="preserve"> PAGEREF _Toc17118 \h </w:instrText>
          </w:r>
          <w:r>
            <w:rPr>
              <w:sz w:val="24"/>
              <w:szCs w:val="24"/>
            </w:rPr>
            <w:fldChar w:fldCharType="separate"/>
          </w:r>
          <w:r>
            <w:rPr>
              <w:sz w:val="24"/>
              <w:szCs w:val="24"/>
            </w:rPr>
            <w:t>19</w:t>
          </w:r>
          <w:r>
            <w:rPr>
              <w:sz w:val="24"/>
              <w:szCs w:val="24"/>
            </w:rPr>
            <w:fldChar w:fldCharType="end"/>
          </w:r>
          <w:r>
            <w:rPr>
              <w:sz w:val="24"/>
              <w:szCs w:val="24"/>
            </w:rPr>
            <w:fldChar w:fldCharType="end"/>
          </w:r>
        </w:p>
        <w:p w14:paraId="75B3571B">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pPr>
          <w:r>
            <w:rPr>
              <w:sz w:val="24"/>
              <w:szCs w:val="24"/>
            </w:rPr>
            <w:fldChar w:fldCharType="end"/>
          </w:r>
        </w:p>
      </w:sdtContent>
    </w:sdt>
    <w:p w14:paraId="7B1C10FD">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sectPr>
          <w:footerReference r:id="rId5" w:type="default"/>
          <w:pgSz w:w="11906" w:h="16838"/>
          <w:pgMar w:top="2098" w:right="1304" w:bottom="1984" w:left="1587" w:header="851" w:footer="992" w:gutter="0"/>
          <w:pgNumType w:fmt="decimal" w:start="1"/>
          <w:cols w:space="0" w:num="1"/>
          <w:rtlGutter w:val="0"/>
          <w:docGrid w:type="lines" w:linePitch="312" w:charSpace="0"/>
        </w:sectPr>
      </w:pPr>
      <w:bookmarkStart w:id="14" w:name="_Toc4015"/>
      <w:bookmarkStart w:id="15" w:name="_Toc5749"/>
      <w:bookmarkStart w:id="16" w:name="_Toc21175"/>
      <w:bookmarkStart w:id="17" w:name="_Toc27045"/>
      <w:bookmarkStart w:id="18" w:name="_Toc29949"/>
      <w:bookmarkStart w:id="19" w:name="_Toc23753"/>
      <w:bookmarkStart w:id="20" w:name="_Toc443"/>
      <w:bookmarkStart w:id="21" w:name="_Toc6843"/>
      <w:bookmarkStart w:id="22" w:name="_Toc17515"/>
    </w:p>
    <w:p w14:paraId="38E94AF2">
      <w:pPr>
        <w:pStyle w:val="11"/>
        <w:rPr>
          <w:rFonts w:hint="eastAsia"/>
          <w:lang w:val="en-US" w:eastAsia="zh-CN"/>
        </w:rPr>
      </w:pPr>
    </w:p>
    <w:p w14:paraId="68E7447B">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pPr>
      <w:bookmarkStart w:id="23" w:name="_Toc13259"/>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青山红卫路华美饲料地块及青山滨江西片</w:t>
      </w:r>
      <w:bookmarkEnd w:id="23"/>
    </w:p>
    <w:p w14:paraId="1BCA6BE7">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pPr>
      <w:bookmarkStart w:id="24" w:name="_Toc21788"/>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F地块（邦泰·璟和）项目“3·21”</w:t>
      </w:r>
      <w:bookmarkEnd w:id="24"/>
    </w:p>
    <w:p w14:paraId="52C75FF5">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pPr>
      <w:bookmarkStart w:id="25" w:name="_Toc17209"/>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一般起重伤害事故调查报告</w:t>
      </w:r>
      <w:bookmarkEnd w:id="25"/>
    </w:p>
    <w:bookmarkEnd w:id="14"/>
    <w:bookmarkEnd w:id="15"/>
    <w:bookmarkEnd w:id="16"/>
    <w:bookmarkEnd w:id="17"/>
    <w:bookmarkEnd w:id="18"/>
    <w:bookmarkEnd w:id="19"/>
    <w:bookmarkEnd w:id="20"/>
    <w:bookmarkEnd w:id="21"/>
    <w:bookmarkEnd w:id="22"/>
    <w:p w14:paraId="28646C4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2090021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宋体" w:hAnsi="宋体" w:eastAsia="宋体" w:cs="宋体"/>
          <w:color w:val="000000" w:themeColor="text1"/>
          <w:sz w:val="32"/>
          <w:szCs w:val="32"/>
          <w:lang w:val="en-US" w:eastAsia="zh-CN"/>
          <w14:textFill>
            <w14:solidFill>
              <w14:schemeClr w14:val="tx1"/>
            </w14:solidFill>
          </w14:textFill>
        </w:rPr>
        <w:t>2026</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w:t>
      </w:r>
      <w:r>
        <w:rPr>
          <w:rFonts w:hint="eastAsia" w:ascii="宋体" w:hAnsi="宋体" w:eastAsia="宋体" w:cs="宋体"/>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月</w:t>
      </w:r>
      <w:r>
        <w:rPr>
          <w:rFonts w:hint="eastAsia" w:ascii="宋体" w:hAnsi="宋体" w:eastAsia="宋体" w:cs="宋体"/>
          <w:color w:val="000000" w:themeColor="text1"/>
          <w:sz w:val="32"/>
          <w:szCs w:val="32"/>
          <w:lang w:val="en-US" w:eastAsia="zh-CN"/>
          <w14:textFill>
            <w14:solidFill>
              <w14:schemeClr w14:val="tx1"/>
            </w14:solidFill>
          </w14:textFill>
        </w:rPr>
        <w:t>21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日，华美饲料地块及青山滨江西片</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F</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地块（邦泰·璟和）项目发生一起起重伤害事故，造成</w:t>
      </w:r>
      <w:r>
        <w:rPr>
          <w:rFonts w:hint="eastAsia" w:ascii="宋体" w:hAnsi="宋体" w:eastAsia="宋体" w:cs="宋体"/>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人死亡，直接经济损失</w:t>
      </w:r>
      <w:r>
        <w:rPr>
          <w:rFonts w:hint="eastAsia" w:ascii="宋体" w:hAnsi="宋体" w:eastAsia="宋体" w:cs="宋体"/>
          <w:color w:val="000000" w:themeColor="text1"/>
          <w:sz w:val="32"/>
          <w:szCs w:val="32"/>
          <w:lang w:val="en-US" w:eastAsia="zh-CN"/>
          <w14:textFill>
            <w14:solidFill>
              <w14:schemeClr w14:val="tx1"/>
            </w14:solidFill>
          </w14:textFill>
        </w:rPr>
        <w:t>147</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万元。</w:t>
      </w:r>
    </w:p>
    <w:p w14:paraId="43E03AE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依据《中华人民共和国安全生产法》</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以下简称“安全生产法”</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《生产安全事故报告和调查处理条例》（国务院令第</w:t>
      </w:r>
      <w:r>
        <w:rPr>
          <w:rFonts w:hint="eastAsia" w:ascii="宋体" w:hAnsi="宋体" w:eastAsia="宋体" w:cs="宋体"/>
          <w:color w:val="000000" w:themeColor="text1"/>
          <w:sz w:val="32"/>
          <w:szCs w:val="32"/>
          <w:lang w:val="en-US" w:eastAsia="zh-CN"/>
          <w14:textFill>
            <w14:solidFill>
              <w14:schemeClr w14:val="tx1"/>
            </w14:solidFill>
          </w14:textFill>
        </w:rPr>
        <w:t>493</w:t>
      </w:r>
      <w:r>
        <w:rPr>
          <w:rFonts w:hint="eastAsia" w:ascii="仿宋_GB2312" w:hAnsi="仿宋_GB2312" w:eastAsia="仿宋_GB2312" w:cs="仿宋_GB2312"/>
          <w:color w:val="000000" w:themeColor="text1"/>
          <w:sz w:val="32"/>
          <w:szCs w:val="32"/>
          <w14:textFill>
            <w14:solidFill>
              <w14:schemeClr w14:val="tx1"/>
            </w14:solidFill>
          </w14:textFill>
        </w:rPr>
        <w:t>号）《湖北省生产安全事故报告和调查处理办法》（省政府令第</w:t>
      </w:r>
      <w:r>
        <w:rPr>
          <w:rFonts w:hint="eastAsia" w:ascii="宋体" w:hAnsi="宋体" w:eastAsia="宋体" w:cs="宋体"/>
          <w:color w:val="000000" w:themeColor="text1"/>
          <w:sz w:val="32"/>
          <w:szCs w:val="32"/>
          <w:lang w:val="en-US" w:eastAsia="zh-CN"/>
          <w14:textFill>
            <w14:solidFill>
              <w14:schemeClr w14:val="tx1"/>
            </w14:solidFill>
          </w14:textFill>
        </w:rPr>
        <w:t>354</w:t>
      </w:r>
      <w:r>
        <w:rPr>
          <w:rFonts w:hint="eastAsia" w:ascii="仿宋_GB2312" w:hAnsi="仿宋_GB2312" w:eastAsia="仿宋_GB2312" w:cs="仿宋_GB2312"/>
          <w:color w:val="000000" w:themeColor="text1"/>
          <w:sz w:val="32"/>
          <w:szCs w:val="32"/>
          <w14:textFill>
            <w14:solidFill>
              <w14:schemeClr w14:val="tx1"/>
            </w14:solidFill>
          </w14:textFill>
        </w:rPr>
        <w:t>号）等有关法律法规规定，区人民政府成立由</w:t>
      </w:r>
      <w:r>
        <w:rPr>
          <w:rFonts w:hint="eastAsia" w:ascii="仿宋_GB2312" w:hAnsi="仿宋_GB2312" w:eastAsia="仿宋_GB2312" w:cs="仿宋_GB2312"/>
          <w:b w:val="0"/>
          <w:bCs/>
          <w:sz w:val="32"/>
          <w:szCs w:val="32"/>
          <w:lang w:val="en-US" w:eastAsia="zh-CN"/>
        </w:rPr>
        <w:t>区应急管理局、区公安分局、区总工会、区资建局、红卫路街道办事处</w:t>
      </w:r>
      <w:r>
        <w:rPr>
          <w:rFonts w:hint="eastAsia" w:ascii="仿宋_GB2312" w:hAnsi="仿宋_GB2312" w:eastAsia="仿宋_GB2312" w:cs="仿宋_GB2312"/>
          <w:color w:val="000000" w:themeColor="text1"/>
          <w:sz w:val="32"/>
          <w:szCs w:val="32"/>
          <w14:textFill>
            <w14:solidFill>
              <w14:schemeClr w14:val="tx1"/>
            </w14:solidFill>
          </w14:textFill>
        </w:rPr>
        <w:t>等</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单位组成的</w:t>
      </w:r>
      <w:r>
        <w:rPr>
          <w:rFonts w:hint="eastAsia" w:ascii="Times New Roman" w:hAnsi="Times New Roman" w:eastAsia="仿宋_GB2312" w:cs="Times New Roman"/>
          <w:color w:val="000000" w:themeColor="text1"/>
          <w:kern w:val="2"/>
          <w:sz w:val="32"/>
          <w:szCs w:val="32"/>
          <w:u w:val="none" w:color="auto"/>
          <w:lang w:val="en-US" w:eastAsia="zh-CN" w:bidi="ar-SA"/>
          <w14:textFill>
            <w14:solidFill>
              <w14:schemeClr w14:val="tx1"/>
            </w14:solidFill>
          </w14:textFill>
        </w:rPr>
        <w:t>“</w:t>
      </w:r>
      <w:r>
        <w:rPr>
          <w:rFonts w:hint="eastAsia" w:ascii="宋体" w:hAnsi="宋体" w:eastAsia="宋体" w:cs="宋体"/>
          <w:color w:val="000000" w:themeColor="text1"/>
          <w:sz w:val="32"/>
          <w:szCs w:val="32"/>
          <w:lang w:val="en-US" w:eastAsia="zh-CN"/>
          <w14:textFill>
            <w14:solidFill>
              <w14:schemeClr w14:val="tx1"/>
            </w14:solidFill>
          </w14:textFill>
        </w:rPr>
        <w:t>3·21</w:t>
      </w:r>
      <w:r>
        <w:rPr>
          <w:rFonts w:hint="eastAsia" w:ascii="Times New Roman" w:hAnsi="Times New Roman" w:eastAsia="仿宋_GB2312" w:cs="Times New Roman"/>
          <w:color w:val="000000" w:themeColor="text1"/>
          <w:kern w:val="2"/>
          <w:sz w:val="32"/>
          <w:szCs w:val="32"/>
          <w:u w:val="none" w:color="auto"/>
          <w:lang w:val="en-US" w:eastAsia="zh-CN" w:bidi="ar-SA"/>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一般起重伤害事故</w:t>
      </w:r>
      <w:r>
        <w:rPr>
          <w:rFonts w:hint="eastAsia" w:ascii="仿宋_GB2312" w:hAnsi="仿宋_GB2312" w:eastAsia="仿宋_GB2312" w:cs="仿宋_GB2312"/>
          <w:color w:val="000000" w:themeColor="text1"/>
          <w:sz w:val="32"/>
          <w:szCs w:val="32"/>
          <w14:textFill>
            <w14:solidFill>
              <w14:schemeClr w14:val="tx1"/>
            </w14:solidFill>
          </w14:textFill>
        </w:rPr>
        <w:t>调查组</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以下简称事故调查组</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kern w:val="2"/>
          <w:sz w:val="32"/>
          <w:lang w:val="en-US" w:eastAsia="zh-CN" w:bidi="ar-SA"/>
          <w14:textFill>
            <w14:solidFill>
              <w14:schemeClr w14:val="tx1"/>
            </w14:solidFill>
          </w14:textFill>
        </w:rPr>
        <w:t>并邀请区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纪委监委、区检察院</w:t>
      </w:r>
      <w:r>
        <w:rPr>
          <w:rFonts w:hint="eastAsia" w:ascii="仿宋_GB2312" w:hAnsi="仿宋_GB2312" w:eastAsia="仿宋_GB2312" w:cs="仿宋_GB2312"/>
          <w:b w:val="0"/>
          <w:bCs/>
          <w:sz w:val="32"/>
          <w:szCs w:val="32"/>
          <w:lang w:val="en-US" w:eastAsia="zh-CN"/>
        </w:rPr>
        <w:t>有关部门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参加</w:t>
      </w:r>
      <w:r>
        <w:rPr>
          <w:rFonts w:hint="eastAsia" w:ascii="仿宋_GB2312" w:hAnsi="仿宋_GB2312" w:eastAsia="仿宋_GB2312" w:cs="仿宋_GB2312"/>
          <w:color w:val="000000" w:themeColor="text1"/>
          <w:kern w:val="2"/>
          <w:sz w:val="32"/>
          <w:lang w:val="en-US" w:eastAsia="zh-CN" w:bidi="ar-SA"/>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对事故展开调查。</w:t>
      </w:r>
    </w:p>
    <w:p w14:paraId="308A647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事故调查组按照“科学严谨、依法依规、实事求是、注重实效”和“四不放过”的原则，通过现场勘验、调查取证、人员询问和综合分析，查清了事故发生的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主要</w:t>
      </w:r>
      <w:r>
        <w:rPr>
          <w:rFonts w:hint="eastAsia" w:ascii="仿宋_GB2312" w:hAnsi="仿宋_GB2312" w:eastAsia="仿宋_GB2312" w:cs="仿宋_GB2312"/>
          <w:color w:val="000000" w:themeColor="text1"/>
          <w:sz w:val="32"/>
          <w:szCs w:val="32"/>
          <w14:textFill>
            <w14:solidFill>
              <w14:schemeClr w14:val="tx1"/>
            </w14:solidFill>
          </w14:textFill>
        </w:rPr>
        <w:t>经过、原因、人员伤亡和财产损失情况，认定了事故的性质和事故责任，提出了对有关责任人员及责任单位的处理建议和事故防范措施建议。</w:t>
      </w:r>
    </w:p>
    <w:p w14:paraId="1CD8BFE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经调查认定，青山红卫路华美饲料地块及青山滨江西片</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F</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地块（邦泰·璟和）项目“</w:t>
      </w:r>
      <w:r>
        <w:rPr>
          <w:rFonts w:hint="eastAsia" w:ascii="宋体" w:hAnsi="宋体" w:eastAsia="宋体" w:cs="宋体"/>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宋体" w:hAnsi="宋体" w:eastAsia="宋体" w:cs="宋体"/>
          <w:color w:val="000000" w:themeColor="text1"/>
          <w:sz w:val="32"/>
          <w:szCs w:val="32"/>
          <w:lang w:val="en-US" w:eastAsia="zh-CN"/>
          <w14:textFill>
            <w14:solidFill>
              <w14:schemeClr w14:val="tx1"/>
            </w14:solidFill>
          </w14:textFill>
        </w:rPr>
        <w:t>21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”一般起重伤害事故是一起因安全生产投入和安全教育培训不到位，现场安全管理缺位，从业人员违规违章作业而造成的一般生产安全责任事故。</w:t>
      </w:r>
    </w:p>
    <w:p w14:paraId="3E0858B4">
      <w:pPr>
        <w:pStyle w:val="8"/>
        <w:keepNext w:val="0"/>
        <w:keepLines w:val="0"/>
        <w:pageBreakBefore w:val="0"/>
        <w:widowControl w:val="0"/>
        <w:kinsoku/>
        <w:wordWrap/>
        <w:overflowPunct/>
        <w:autoSpaceDE/>
        <w:autoSpaceDN/>
        <w:bidi w:val="0"/>
        <w:spacing w:line="560" w:lineRule="exact"/>
        <w:ind w:firstLine="640" w:firstLineChars="200"/>
        <w:jc w:val="both"/>
        <w:textAlignment w:val="auto"/>
        <w:outlineLvl w:val="0"/>
        <w:rPr>
          <w:rFonts w:hint="eastAsia" w:ascii="楷体_GB2312" w:hAnsi="楷体_GB2312" w:eastAsia="楷体_GB2312" w:cs="楷体_GB2312"/>
          <w:b/>
          <w:bCs/>
          <w:sz w:val="32"/>
          <w:szCs w:val="32"/>
          <w:lang w:val="en-US" w:eastAsia="zh-CN"/>
        </w:rPr>
      </w:pPr>
      <w:bookmarkStart w:id="26" w:name="_Toc6370"/>
      <w:r>
        <w:rPr>
          <w:rFonts w:hint="eastAsia" w:ascii="黑体" w:hAnsi="黑体" w:eastAsia="黑体" w:cs="黑体"/>
          <w:sz w:val="32"/>
          <w:szCs w:val="32"/>
          <w:lang w:val="en-US" w:eastAsia="zh-CN"/>
        </w:rPr>
        <w:t>一、事故基本情况</w:t>
      </w:r>
      <w:bookmarkEnd w:id="26"/>
    </w:p>
    <w:p w14:paraId="10F36153">
      <w:pPr>
        <w:pStyle w:val="10"/>
        <w:keepNext w:val="0"/>
        <w:keepLines w:val="0"/>
        <w:pageBreakBefore w:val="0"/>
        <w:widowControl w:val="0"/>
        <w:kinsoku/>
        <w:wordWrap/>
        <w:overflowPunct/>
        <w:autoSpaceDE/>
        <w:autoSpaceDN/>
        <w:bidi w:val="0"/>
        <w:spacing w:line="560" w:lineRule="exact"/>
        <w:ind w:left="0" w:leftChars="0" w:firstLine="643" w:firstLineChars="200"/>
        <w:jc w:val="both"/>
        <w:textAlignment w:val="auto"/>
        <w:outlineLvl w:val="1"/>
        <w:rPr>
          <w:rFonts w:hint="eastAsia" w:ascii="楷体_GB2312" w:hAnsi="楷体_GB2312" w:eastAsia="楷体_GB2312" w:cs="楷体_GB2312"/>
          <w:b/>
          <w:bCs/>
          <w:sz w:val="32"/>
          <w:szCs w:val="32"/>
          <w:lang w:val="en-US" w:eastAsia="zh-CN"/>
        </w:rPr>
      </w:pPr>
      <w:bookmarkStart w:id="27" w:name="_Toc13655"/>
      <w:r>
        <w:rPr>
          <w:rFonts w:hint="eastAsia" w:ascii="楷体_GB2312" w:hAnsi="楷体_GB2312" w:eastAsia="楷体_GB2312" w:cs="楷体_GB2312"/>
          <w:b/>
          <w:bCs/>
          <w:sz w:val="32"/>
          <w:szCs w:val="32"/>
          <w:lang w:val="en-US" w:eastAsia="zh-CN"/>
        </w:rPr>
        <w:t>（一）事故发生单位及相关单位概况</w:t>
      </w:r>
      <w:bookmarkEnd w:id="27"/>
    </w:p>
    <w:p w14:paraId="3C0E5B0C">
      <w:pPr>
        <w:pStyle w:val="17"/>
        <w:keepNext w:val="0"/>
        <w:keepLines w:val="0"/>
        <w:pageBreakBefore w:val="0"/>
        <w:widowControl w:val="0"/>
        <w:numPr>
          <w:ilvl w:val="0"/>
          <w:numId w:val="0"/>
        </w:numPr>
        <w:kinsoku/>
        <w:wordWrap/>
        <w:overflowPunct/>
        <w:topLinePunct/>
        <w:autoSpaceDE/>
        <w:autoSpaceDN/>
        <w:bidi w:val="0"/>
        <w:adjustRightInd w:val="0"/>
        <w:snapToGrid w:val="0"/>
        <w:spacing w:line="560" w:lineRule="exact"/>
        <w:ind w:firstLine="643"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宋体" w:hAnsi="宋体" w:eastAsia="宋体" w:cs="宋体"/>
          <w:b/>
          <w:bCs/>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四川欣易彩建筑工程有限公司。</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以下简</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称“欣易彩建筑公司”，施工单位，统一信用代码：</w:t>
      </w:r>
      <w:r>
        <w:rPr>
          <w:rFonts w:hint="eastAsia" w:ascii="宋体" w:hAnsi="宋体" w:eastAsia="宋体" w:cs="宋体"/>
          <w:color w:val="000000" w:themeColor="text1"/>
          <w:sz w:val="32"/>
          <w:szCs w:val="32"/>
          <w:highlight w:val="none"/>
          <w:lang w:val="en-US" w:eastAsia="zh-CN"/>
          <w14:textFill>
            <w14:solidFill>
              <w14:schemeClr w14:val="tx1"/>
            </w14:solidFill>
          </w14:textFill>
        </w:rPr>
        <w:t>91510105</w:t>
      </w:r>
      <w:r>
        <w:rPr>
          <w:rFonts w:hint="eastAsia" w:ascii="Times New Roman" w:hAnsi="Times New Roman" w:eastAsia="宋体" w:cs="Times New Roman"/>
          <w:color w:val="000000" w:themeColor="text1"/>
          <w:sz w:val="32"/>
          <w:szCs w:val="32"/>
          <w:highlight w:val="none"/>
          <w:lang w:val="en-US" w:eastAsia="zh-CN"/>
          <w14:textFill>
            <w14:solidFill>
              <w14:schemeClr w14:val="tx1"/>
            </w14:solidFill>
          </w14:textFill>
        </w:rPr>
        <w:t>MACA</w:t>
      </w:r>
      <w:r>
        <w:rPr>
          <w:rFonts w:hint="eastAsia" w:ascii="宋体" w:hAnsi="宋体" w:eastAsia="宋体" w:cs="宋体"/>
          <w:color w:val="000000" w:themeColor="text1"/>
          <w:sz w:val="32"/>
          <w:szCs w:val="32"/>
          <w:highlight w:val="none"/>
          <w:lang w:val="en-US" w:eastAsia="zh-CN"/>
          <w14:textFill>
            <w14:solidFill>
              <w14:schemeClr w14:val="tx1"/>
            </w14:solidFill>
          </w14:textFill>
        </w:rPr>
        <w:t>18</w:t>
      </w:r>
      <w:r>
        <w:rPr>
          <w:rFonts w:hint="eastAsia" w:ascii="Times New Roman" w:hAnsi="Times New Roman" w:eastAsia="宋体" w:cs="Times New Roman"/>
          <w:color w:val="000000" w:themeColor="text1"/>
          <w:sz w:val="32"/>
          <w:szCs w:val="32"/>
          <w:highlight w:val="none"/>
          <w:lang w:val="en-US" w:eastAsia="zh-CN"/>
          <w14:textFill>
            <w14:solidFill>
              <w14:schemeClr w14:val="tx1"/>
            </w14:solidFill>
          </w14:textFill>
        </w:rPr>
        <w:t>B</w:t>
      </w:r>
      <w:r>
        <w:rPr>
          <w:rFonts w:hint="eastAsia" w:ascii="宋体" w:hAnsi="宋体" w:eastAsia="宋体" w:cs="宋体"/>
          <w:color w:val="000000" w:themeColor="text1"/>
          <w:sz w:val="32"/>
          <w:szCs w:val="32"/>
          <w:highlight w:val="none"/>
          <w:lang w:val="en-US" w:eastAsia="zh-CN"/>
          <w14:textFill>
            <w14:solidFill>
              <w14:schemeClr w14:val="tx1"/>
            </w14:solidFill>
          </w14:textFill>
        </w:rPr>
        <w:t>05</w:t>
      </w:r>
      <w:r>
        <w:rPr>
          <w:rFonts w:hint="eastAsia" w:ascii="Times New Roman" w:hAnsi="Times New Roman" w:eastAsia="宋体" w:cs="Times New Roman"/>
          <w:color w:val="000000" w:themeColor="text1"/>
          <w:sz w:val="32"/>
          <w:szCs w:val="32"/>
          <w:highlight w:val="none"/>
          <w:lang w:val="en-US" w:eastAsia="zh-CN"/>
          <w14:textFill>
            <w14:solidFill>
              <w14:schemeClr w14:val="tx1"/>
            </w14:solidFill>
          </w14:textFill>
        </w:rPr>
        <w:t>D</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，类型为有限责任公司(自然人投资或控股的法人独资)，成立于</w:t>
      </w:r>
      <w:r>
        <w:rPr>
          <w:rFonts w:hint="eastAsia" w:ascii="宋体" w:hAnsi="宋体" w:eastAsia="宋体" w:cs="宋体"/>
          <w:color w:val="000000" w:themeColor="text1"/>
          <w:sz w:val="32"/>
          <w:szCs w:val="32"/>
          <w:highlight w:val="none"/>
          <w:lang w:val="en-US" w:eastAsia="zh-CN"/>
          <w14:textFill>
            <w14:solidFill>
              <w14:schemeClr w14:val="tx1"/>
            </w14:solidFill>
          </w14:textFill>
        </w:rPr>
        <w:t>2023</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年</w:t>
      </w:r>
      <w:r>
        <w:rPr>
          <w:rFonts w:hint="eastAsia" w:ascii="宋体" w:hAnsi="宋体" w:eastAsia="宋体" w:cs="宋体"/>
          <w:color w:val="000000" w:themeColor="text1"/>
          <w:sz w:val="32"/>
          <w:szCs w:val="32"/>
          <w:highlight w:val="none"/>
          <w:lang w:val="en-US" w:eastAsia="zh-CN"/>
          <w14:textFill>
            <w14:solidFill>
              <w14:schemeClr w14:val="tx1"/>
            </w14:solidFill>
          </w14:textFill>
        </w:rPr>
        <w:t>3</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月</w:t>
      </w:r>
      <w:r>
        <w:rPr>
          <w:rFonts w:hint="eastAsia" w:ascii="宋体" w:hAnsi="宋体" w:eastAsia="宋体" w:cs="宋体"/>
          <w:color w:val="000000" w:themeColor="text1"/>
          <w:sz w:val="32"/>
          <w:szCs w:val="32"/>
          <w:highlight w:val="none"/>
          <w:lang w:val="en-US" w:eastAsia="zh-CN"/>
          <w14:textFill>
            <w14:solidFill>
              <w14:schemeClr w14:val="tx1"/>
            </w14:solidFill>
          </w14:textFill>
        </w:rPr>
        <w:t>25</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日，住所为四川省成都市武侯区交子大道</w:t>
      </w:r>
      <w:r>
        <w:rPr>
          <w:rFonts w:hint="eastAsia" w:ascii="宋体" w:hAnsi="宋体" w:eastAsia="宋体" w:cs="宋体"/>
          <w:color w:val="000000" w:themeColor="text1"/>
          <w:sz w:val="32"/>
          <w:szCs w:val="32"/>
          <w:highlight w:val="none"/>
          <w:lang w:val="en-US" w:eastAsia="zh-CN"/>
          <w14:textFill>
            <w14:solidFill>
              <w14:schemeClr w14:val="tx1"/>
            </w14:solidFill>
          </w14:textFill>
        </w:rPr>
        <w:t>575</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号中海国际中心</w:t>
      </w:r>
      <w:r>
        <w:rPr>
          <w:rFonts w:hint="eastAsia" w:ascii="Times New Roman" w:hAnsi="Times New Roman" w:eastAsia="宋体" w:cs="Times New Roman"/>
          <w:color w:val="000000" w:themeColor="text1"/>
          <w:sz w:val="32"/>
          <w:szCs w:val="32"/>
          <w:highlight w:val="none"/>
          <w:lang w:val="en-US" w:eastAsia="zh-CN"/>
          <w14:textFill>
            <w14:solidFill>
              <w14:schemeClr w14:val="tx1"/>
            </w14:solidFill>
          </w14:textFill>
        </w:rPr>
        <w:t>J</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座，</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经营</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范围：许可项目：建设工程施工；住宅室内装饰装修；施工专业作业；公路工程监理等。持有四川省住房和城乡建设厅颁发的《安全生产许可证》，</w:t>
      </w:r>
      <w:r>
        <w:rPr>
          <w:rFonts w:hint="eastAsia" w:ascii="仿宋_GB2312" w:hAnsi="仿宋_GB2312" w:eastAsia="仿宋_GB2312" w:cs="仿宋_GB2312"/>
          <w:sz w:val="32"/>
          <w:szCs w:val="32"/>
          <w:highlight w:val="none"/>
          <w:lang w:val="en-US" w:eastAsia="zh-CN"/>
        </w:rPr>
        <w:t>编号：（川）</w:t>
      </w:r>
      <w:r>
        <w:rPr>
          <w:rFonts w:hint="eastAsia" w:ascii="Times New Roman" w:hAnsi="Times New Roman" w:eastAsia="宋体" w:cs="Times New Roman"/>
          <w:color w:val="000000" w:themeColor="text1"/>
          <w:sz w:val="32"/>
          <w:szCs w:val="32"/>
          <w:highlight w:val="none"/>
          <w:lang w:val="en-US" w:eastAsia="zh-CN"/>
          <w14:textFill>
            <w14:solidFill>
              <w14:schemeClr w14:val="tx1"/>
            </w14:solidFill>
          </w14:textFill>
        </w:rPr>
        <w:t>JZ</w:t>
      </w:r>
      <w:r>
        <w:rPr>
          <w:rFonts w:hint="eastAsia" w:ascii="仿宋_GB2312" w:hAnsi="仿宋_GB2312" w:eastAsia="仿宋_GB2312" w:cs="仿宋_GB2312"/>
          <w:sz w:val="32"/>
          <w:szCs w:val="32"/>
          <w:highlight w:val="none"/>
          <w:lang w:val="en-US" w:eastAsia="zh-CN"/>
        </w:rPr>
        <w:t>安许证字〔</w:t>
      </w:r>
      <w:r>
        <w:rPr>
          <w:rFonts w:hint="eastAsia" w:ascii="宋体" w:hAnsi="宋体" w:eastAsia="宋体" w:cs="宋体"/>
          <w:color w:val="000000" w:themeColor="text1"/>
          <w:kern w:val="2"/>
          <w:sz w:val="32"/>
          <w:szCs w:val="32"/>
          <w:highlight w:val="none"/>
          <w:u w:val="none"/>
          <w:lang w:val="en-US" w:eastAsia="zh-CN" w:bidi="ar-SA"/>
          <w14:textFill>
            <w14:solidFill>
              <w14:schemeClr w14:val="tx1"/>
            </w14:solidFill>
          </w14:textFill>
        </w:rPr>
        <w:t>2023</w:t>
      </w:r>
      <w:r>
        <w:rPr>
          <w:rFonts w:hint="eastAsia" w:ascii="仿宋_GB2312" w:hAnsi="仿宋_GB2312" w:eastAsia="仿宋_GB2312" w:cs="仿宋_GB2312"/>
          <w:sz w:val="32"/>
          <w:szCs w:val="32"/>
          <w:highlight w:val="none"/>
          <w:lang w:val="en-US" w:eastAsia="zh-CN"/>
        </w:rPr>
        <w:t>〕</w:t>
      </w:r>
      <w:r>
        <w:rPr>
          <w:rFonts w:hint="eastAsia" w:ascii="宋体" w:hAnsi="宋体" w:eastAsia="宋体" w:cs="宋体"/>
          <w:color w:val="000000" w:themeColor="text1"/>
          <w:kern w:val="2"/>
          <w:sz w:val="32"/>
          <w:szCs w:val="32"/>
          <w:highlight w:val="none"/>
          <w:u w:val="none"/>
          <w:lang w:val="en-US" w:eastAsia="zh-CN" w:bidi="ar-SA"/>
          <w14:textFill>
            <w14:solidFill>
              <w14:schemeClr w14:val="tx1"/>
            </w14:solidFill>
          </w14:textFill>
        </w:rPr>
        <w:t>008302</w:t>
      </w:r>
      <w:r>
        <w:rPr>
          <w:rFonts w:hint="eastAsia" w:ascii="仿宋_GB2312" w:hAnsi="仿宋_GB2312" w:eastAsia="仿宋_GB2312" w:cs="仿宋_GB2312"/>
          <w:sz w:val="32"/>
          <w:szCs w:val="32"/>
          <w:highlight w:val="none"/>
          <w:lang w:val="en-US" w:eastAsia="zh-CN"/>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有效期至</w:t>
      </w:r>
      <w:r>
        <w:rPr>
          <w:rFonts w:hint="eastAsia" w:ascii="宋体" w:hAnsi="宋体" w:eastAsia="宋体" w:cs="宋体"/>
          <w:color w:val="000000" w:themeColor="text1"/>
          <w:kern w:val="2"/>
          <w:sz w:val="32"/>
          <w:szCs w:val="32"/>
          <w:highlight w:val="none"/>
          <w:u w:val="none"/>
          <w:lang w:val="en-US" w:eastAsia="zh-CN" w:bidi="ar-SA"/>
          <w14:textFill>
            <w14:solidFill>
              <w14:schemeClr w14:val="tx1"/>
            </w14:solidFill>
          </w14:textFill>
        </w:rPr>
        <w:t>2026</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年</w:t>
      </w:r>
      <w:r>
        <w:rPr>
          <w:rFonts w:hint="eastAsia" w:ascii="宋体" w:hAnsi="宋体" w:eastAsia="宋体" w:cs="宋体"/>
          <w:color w:val="000000" w:themeColor="text1"/>
          <w:kern w:val="2"/>
          <w:sz w:val="32"/>
          <w:szCs w:val="32"/>
          <w:highlight w:val="none"/>
          <w:u w:val="none"/>
          <w:lang w:val="en-US" w:eastAsia="zh-CN" w:bidi="ar-SA"/>
          <w14:textFill>
            <w14:solidFill>
              <w14:schemeClr w14:val="tx1"/>
            </w14:solidFill>
          </w14:textFill>
        </w:rPr>
        <w:t>5</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月</w:t>
      </w:r>
      <w:r>
        <w:rPr>
          <w:rFonts w:hint="eastAsia" w:ascii="宋体" w:hAnsi="宋体" w:eastAsia="宋体" w:cs="宋体"/>
          <w:color w:val="000000" w:themeColor="text1"/>
          <w:sz w:val="32"/>
          <w:szCs w:val="32"/>
          <w:highlight w:val="none"/>
          <w:lang w:val="en-US" w:eastAsia="zh-CN"/>
          <w14:textFill>
            <w14:solidFill>
              <w14:schemeClr w14:val="tx1"/>
            </w14:solidFill>
          </w14:textFill>
        </w:rPr>
        <w:t>8</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日；持有四川省住房和城乡建设厅颁发的《建筑业企业资质证书》，编号</w:t>
      </w:r>
      <w:r>
        <w:rPr>
          <w:rFonts w:hint="eastAsia" w:ascii="Times New Roman" w:hAnsi="Times New Roman" w:eastAsia="宋体" w:cs="Times New Roman"/>
          <w:color w:val="000000" w:themeColor="text1"/>
          <w:sz w:val="32"/>
          <w:szCs w:val="32"/>
          <w:highlight w:val="none"/>
          <w:lang w:val="en-US" w:eastAsia="zh-CN"/>
          <w14:textFill>
            <w14:solidFill>
              <w14:schemeClr w14:val="tx1"/>
            </w14:solidFill>
          </w14:textFill>
        </w:rPr>
        <w:t>D</w:t>
      </w:r>
      <w:r>
        <w:rPr>
          <w:rFonts w:hint="eastAsia" w:ascii="宋体" w:hAnsi="宋体" w:eastAsia="宋体" w:cs="宋体"/>
          <w:color w:val="000000" w:themeColor="text1"/>
          <w:sz w:val="32"/>
          <w:szCs w:val="32"/>
          <w:highlight w:val="none"/>
          <w:lang w:val="en-US" w:eastAsia="zh-CN"/>
          <w14:textFill>
            <w14:solidFill>
              <w14:schemeClr w14:val="tx1"/>
            </w14:solidFill>
          </w14:textFill>
        </w:rPr>
        <w:t>251</w:t>
      </w:r>
      <w:r>
        <w:rPr>
          <w:rFonts w:hint="eastAsia" w:ascii="Times New Roman" w:hAnsi="Times New Roman" w:eastAsia="宋体" w:cs="Times New Roman"/>
          <w:color w:val="000000" w:themeColor="text1"/>
          <w:sz w:val="32"/>
          <w:szCs w:val="32"/>
          <w:highlight w:val="none"/>
          <w:lang w:val="en-US" w:eastAsia="zh-CN"/>
          <w14:textFill>
            <w14:solidFill>
              <w14:schemeClr w14:val="tx1"/>
            </w14:solidFill>
          </w14:textFill>
        </w:rPr>
        <w:t>A</w:t>
      </w:r>
      <w:r>
        <w:rPr>
          <w:rFonts w:hint="eastAsia" w:ascii="宋体" w:hAnsi="宋体" w:eastAsia="宋体" w:cs="宋体"/>
          <w:color w:val="000000" w:themeColor="text1"/>
          <w:sz w:val="32"/>
          <w:szCs w:val="32"/>
          <w:highlight w:val="none"/>
          <w:lang w:val="en-US" w:eastAsia="zh-CN"/>
          <w14:textFill>
            <w14:solidFill>
              <w14:schemeClr w14:val="tx1"/>
            </w14:solidFill>
          </w14:textFill>
        </w:rPr>
        <w:t>01320</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，有效期至</w:t>
      </w:r>
      <w:r>
        <w:rPr>
          <w:rFonts w:hint="eastAsia" w:ascii="宋体" w:hAnsi="宋体" w:eastAsia="宋体" w:cs="宋体"/>
          <w:color w:val="000000" w:themeColor="text1"/>
          <w:kern w:val="2"/>
          <w:sz w:val="32"/>
          <w:szCs w:val="32"/>
          <w:highlight w:val="none"/>
          <w:u w:val="none"/>
          <w:lang w:val="en-US" w:eastAsia="zh-CN" w:bidi="ar-SA"/>
          <w14:textFill>
            <w14:solidFill>
              <w14:schemeClr w14:val="tx1"/>
            </w14:solidFill>
          </w14:textFill>
        </w:rPr>
        <w:t>2028</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年</w:t>
      </w:r>
      <w:r>
        <w:rPr>
          <w:rFonts w:hint="eastAsia" w:ascii="宋体" w:hAnsi="宋体" w:eastAsia="宋体" w:cs="宋体"/>
          <w:color w:val="000000" w:themeColor="text1"/>
          <w:kern w:val="2"/>
          <w:sz w:val="32"/>
          <w:szCs w:val="32"/>
          <w:highlight w:val="none"/>
          <w:u w:val="none"/>
          <w:lang w:val="en-US" w:eastAsia="zh-CN" w:bidi="ar-SA"/>
          <w14:textFill>
            <w14:solidFill>
              <w14:schemeClr w14:val="tx1"/>
            </w14:solidFill>
          </w14:textFill>
        </w:rPr>
        <w:t>8</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月</w:t>
      </w:r>
      <w:r>
        <w:rPr>
          <w:rFonts w:hint="eastAsia" w:ascii="宋体" w:hAnsi="宋体" w:eastAsia="宋体" w:cs="宋体"/>
          <w:color w:val="000000" w:themeColor="text1"/>
          <w:kern w:val="2"/>
          <w:sz w:val="32"/>
          <w:szCs w:val="32"/>
          <w:highlight w:val="none"/>
          <w:u w:val="none"/>
          <w:lang w:val="en-US" w:eastAsia="zh-CN" w:bidi="ar-SA"/>
          <w14:textFill>
            <w14:solidFill>
              <w14:schemeClr w14:val="tx1"/>
            </w14:solidFill>
          </w14:textFill>
        </w:rPr>
        <w:t>9</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日，资质类别及等级为建筑工程施工总承包二级。</w:t>
      </w:r>
    </w:p>
    <w:p w14:paraId="687D2952">
      <w:pPr>
        <w:pStyle w:val="17"/>
        <w:keepNext w:val="0"/>
        <w:keepLines w:val="0"/>
        <w:pageBreakBefore w:val="0"/>
        <w:widowControl w:val="0"/>
        <w:numPr>
          <w:ilvl w:val="0"/>
          <w:numId w:val="0"/>
        </w:numPr>
        <w:kinsoku/>
        <w:wordWrap/>
        <w:overflowPunct/>
        <w:topLinePunct/>
        <w:autoSpaceDE/>
        <w:autoSpaceDN/>
        <w:bidi w:val="0"/>
        <w:adjustRightInd w:val="0"/>
        <w:snapToGrid w:val="0"/>
        <w:spacing w:line="560" w:lineRule="exact"/>
        <w:ind w:firstLine="643" w:firstLineChars="200"/>
        <w:jc w:val="both"/>
        <w:textAlignment w:val="auto"/>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湖北庞源机械工程有限公司。</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以下简称“庞源机械公司”，塔吊专业分包单位，统一信用代码：</w:t>
      </w:r>
      <w:r>
        <w:rPr>
          <w:rFonts w:hint="eastAsia" w:ascii="宋体" w:hAnsi="宋体" w:eastAsia="宋体" w:cs="宋体"/>
          <w:color w:val="000000" w:themeColor="text1"/>
          <w:sz w:val="32"/>
          <w:szCs w:val="32"/>
          <w:lang w:val="en-US" w:eastAsia="zh-CN"/>
          <w14:textFill>
            <w14:solidFill>
              <w14:schemeClr w14:val="tx1"/>
            </w14:solidFill>
          </w14:textFill>
        </w:rPr>
        <w:t>914201155818175289</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，类型为有限责任公司（非自然人投资或控股的法人独资），成立于</w:t>
      </w:r>
      <w:r>
        <w:rPr>
          <w:rFonts w:hint="eastAsia" w:ascii="宋体" w:hAnsi="宋体" w:eastAsia="宋体" w:cs="宋体"/>
          <w:color w:val="000000" w:themeColor="text1"/>
          <w:sz w:val="32"/>
          <w:szCs w:val="32"/>
          <w:lang w:val="en-US" w:eastAsia="zh-CN"/>
          <w14:textFill>
            <w14:solidFill>
              <w14:schemeClr w14:val="tx1"/>
            </w14:solidFill>
          </w14:textFill>
        </w:rPr>
        <w:t>2011</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年</w:t>
      </w:r>
      <w:r>
        <w:rPr>
          <w:rFonts w:hint="eastAsia" w:ascii="宋体" w:hAnsi="宋体" w:eastAsia="宋体" w:cs="宋体"/>
          <w:color w:val="000000" w:themeColor="text1"/>
          <w:sz w:val="32"/>
          <w:szCs w:val="32"/>
          <w:lang w:val="en-US" w:eastAsia="zh-CN"/>
          <w14:textFill>
            <w14:solidFill>
              <w14:schemeClr w14:val="tx1"/>
            </w14:solidFill>
          </w14:textFill>
        </w:rPr>
        <w:t>9</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月</w:t>
      </w:r>
      <w:r>
        <w:rPr>
          <w:rFonts w:hint="eastAsia" w:ascii="宋体" w:hAnsi="宋体" w:eastAsia="宋体" w:cs="宋体"/>
          <w:color w:val="000000" w:themeColor="text1"/>
          <w:sz w:val="32"/>
          <w:szCs w:val="32"/>
          <w:lang w:val="en-US" w:eastAsia="zh-CN"/>
          <w14:textFill>
            <w14:solidFill>
              <w14:schemeClr w14:val="tx1"/>
            </w14:solidFill>
          </w14:textFill>
        </w:rPr>
        <w:t>9</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日，住所为湖北省武汉市黄陂区前川街创业中路特</w:t>
      </w:r>
      <w:r>
        <w:rPr>
          <w:rFonts w:hint="eastAsia" w:ascii="宋体" w:hAnsi="宋体" w:eastAsia="宋体" w:cs="宋体"/>
          <w:color w:val="000000" w:themeColor="text1"/>
          <w:sz w:val="32"/>
          <w:szCs w:val="32"/>
          <w:lang w:val="en-US" w:eastAsia="zh-CN"/>
          <w14:textFill>
            <w14:solidFill>
              <w14:schemeClr w14:val="tx1"/>
            </w14:solidFill>
          </w14:textFill>
        </w:rPr>
        <w:t>1</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号，经营范围：建筑工程机械的研发、制造、加工、销售、维修，起重机械设备安装及技术服务，建筑工程机械与设备租赁(不含融资租赁和金融租赁)，提供施工设备服务等。持有湖北省住房和城乡建设厅颁发的《安全生产许可证》，</w:t>
      </w:r>
      <w:r>
        <w:rPr>
          <w:rFonts w:hint="eastAsia" w:ascii="仿宋_GB2312" w:hAnsi="仿宋_GB2312" w:eastAsia="仿宋_GB2312" w:cs="仿宋_GB2312"/>
          <w:sz w:val="32"/>
          <w:szCs w:val="32"/>
          <w:lang w:val="en-US" w:eastAsia="zh-CN"/>
        </w:rPr>
        <w:t>编号：</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（鄂）</w:t>
      </w:r>
      <w:r>
        <w:rPr>
          <w:rFonts w:hint="eastAsia" w:ascii="Times New Roman" w:hAnsi="Times New Roman" w:eastAsia="宋体" w:cs="Times New Roman"/>
          <w:color w:val="000000" w:themeColor="text1"/>
          <w:kern w:val="2"/>
          <w:sz w:val="32"/>
          <w:szCs w:val="32"/>
          <w:u w:val="none"/>
          <w:lang w:val="en-US" w:eastAsia="zh-CN" w:bidi="ar-SA"/>
          <w14:textFill>
            <w14:solidFill>
              <w14:schemeClr w14:val="tx1"/>
            </w14:solidFill>
          </w14:textFill>
        </w:rPr>
        <w:t>JZ</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安许证字〔</w:t>
      </w: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2016</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宋体" w:hAnsi="宋体" w:eastAsia="宋体" w:cs="宋体"/>
          <w:color w:val="000000" w:themeColor="text1"/>
          <w:sz w:val="32"/>
          <w:szCs w:val="32"/>
          <w:lang w:val="en-US" w:eastAsia="zh-CN"/>
          <w14:textFill>
            <w14:solidFill>
              <w14:schemeClr w14:val="tx1"/>
            </w14:solidFill>
          </w14:textFill>
        </w:rPr>
        <w:t>014265</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，有效期至</w:t>
      </w: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2028</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年</w:t>
      </w: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4</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月</w:t>
      </w: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14</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日；</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持有湖北省住房和城乡建设厅颁发的《建筑业企业资质证书》，编号</w:t>
      </w:r>
      <w:r>
        <w:rPr>
          <w:rFonts w:hint="eastAsia" w:ascii="Times New Roman" w:hAnsi="Times New Roman" w:eastAsia="宋体" w:cs="Times New Roman"/>
          <w:color w:val="000000" w:themeColor="text1"/>
          <w:sz w:val="32"/>
          <w:szCs w:val="32"/>
          <w:highlight w:val="none"/>
          <w:lang w:val="en-US" w:eastAsia="zh-CN"/>
          <w14:textFill>
            <w14:solidFill>
              <w14:schemeClr w14:val="tx1"/>
            </w14:solidFill>
          </w14:textFill>
        </w:rPr>
        <w:t>D</w:t>
      </w: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242157359</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，有效期至</w:t>
      </w:r>
      <w:r>
        <w:rPr>
          <w:rFonts w:hint="eastAsia" w:ascii="宋体" w:hAnsi="宋体" w:eastAsia="宋体" w:cs="宋体"/>
          <w:color w:val="000000" w:themeColor="text1"/>
          <w:kern w:val="2"/>
          <w:sz w:val="32"/>
          <w:szCs w:val="32"/>
          <w:highlight w:val="none"/>
          <w:u w:val="none"/>
          <w:lang w:val="en-US" w:eastAsia="zh-CN" w:bidi="ar-SA"/>
          <w14:textFill>
            <w14:solidFill>
              <w14:schemeClr w14:val="tx1"/>
            </w14:solidFill>
          </w14:textFill>
        </w:rPr>
        <w:t>2030</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年</w:t>
      </w:r>
      <w:r>
        <w:rPr>
          <w:rFonts w:hint="eastAsia" w:ascii="宋体" w:hAnsi="宋体" w:eastAsia="宋体" w:cs="宋体"/>
          <w:color w:val="000000" w:themeColor="text1"/>
          <w:kern w:val="2"/>
          <w:sz w:val="32"/>
          <w:szCs w:val="32"/>
          <w:highlight w:val="none"/>
          <w:u w:val="none"/>
          <w:lang w:val="en-US" w:eastAsia="zh-CN" w:bidi="ar-SA"/>
          <w14:textFill>
            <w14:solidFill>
              <w14:schemeClr w14:val="tx1"/>
            </w14:solidFill>
          </w14:textFill>
        </w:rPr>
        <w:t>3</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月</w:t>
      </w:r>
      <w:r>
        <w:rPr>
          <w:rFonts w:hint="eastAsia" w:ascii="宋体" w:hAnsi="宋体" w:eastAsia="宋体" w:cs="宋体"/>
          <w:color w:val="000000" w:themeColor="text1"/>
          <w:kern w:val="2"/>
          <w:sz w:val="32"/>
          <w:szCs w:val="32"/>
          <w:highlight w:val="none"/>
          <w:u w:val="none"/>
          <w:lang w:val="en-US" w:eastAsia="zh-CN" w:bidi="ar-SA"/>
          <w14:textFill>
            <w14:solidFill>
              <w14:schemeClr w14:val="tx1"/>
            </w14:solidFill>
          </w14:textFill>
        </w:rPr>
        <w:t>17</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日，资质类别及等级为起重设备安装工程专业承包壹级。</w:t>
      </w:r>
      <w:r>
        <w:rPr>
          <w:rFonts w:hint="eastAsia" w:ascii="楷体_GB2312" w:hAnsi="楷体_GB2312" w:eastAsia="楷体_GB2312" w:cs="楷体_GB2312"/>
          <w:b/>
          <w:bCs/>
          <w:sz w:val="32"/>
          <w:szCs w:val="32"/>
          <w:highlight w:val="none"/>
          <w:lang w:val="en-US" w:eastAsia="zh-CN"/>
        </w:rPr>
        <w:t xml:space="preserve"> </w:t>
      </w:r>
    </w:p>
    <w:p w14:paraId="4E5C390E">
      <w:pPr>
        <w:pStyle w:val="17"/>
        <w:keepNext w:val="0"/>
        <w:keepLines w:val="0"/>
        <w:pageBreakBefore w:val="0"/>
        <w:widowControl w:val="0"/>
        <w:numPr>
          <w:ilvl w:val="0"/>
          <w:numId w:val="0"/>
        </w:numPr>
        <w:kinsoku/>
        <w:wordWrap/>
        <w:overflowPunct/>
        <w:autoSpaceDE/>
        <w:autoSpaceDN/>
        <w:bidi w:val="0"/>
        <w:spacing w:line="560" w:lineRule="exact"/>
        <w:ind w:firstLine="643" w:firstLineChars="200"/>
        <w:jc w:val="both"/>
        <w:textAlignment w:val="auto"/>
        <w:rPr>
          <w:rFonts w:hint="eastAsia"/>
          <w:lang w:val="en-US" w:eastAsia="zh-CN"/>
        </w:rPr>
      </w:pPr>
      <w:r>
        <w:rPr>
          <w:rFonts w:hint="eastAsia" w:ascii="宋体" w:hAnsi="宋体" w:eastAsia="宋体" w:cs="宋体"/>
          <w:b/>
          <w:bCs/>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.武汉坤建中兴劳务分包工程有限公司。</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以下简称“坤建劳务公司”，劳务分包单位，统一信用代码：</w:t>
      </w:r>
      <w:r>
        <w:rPr>
          <w:rFonts w:hint="eastAsia" w:ascii="宋体" w:hAnsi="宋体" w:eastAsia="宋体" w:cs="宋体"/>
          <w:color w:val="000000" w:themeColor="text1"/>
          <w:sz w:val="32"/>
          <w:szCs w:val="32"/>
          <w:lang w:val="en-US" w:eastAsia="zh-CN"/>
          <w14:textFill>
            <w14:solidFill>
              <w14:schemeClr w14:val="tx1"/>
            </w14:solidFill>
          </w14:textFill>
        </w:rPr>
        <w:t>91420116303740743</w:t>
      </w:r>
      <w:r>
        <w:rPr>
          <w:rFonts w:hint="eastAsia" w:ascii="Times New Roman" w:hAnsi="Times New Roman" w:eastAsia="宋体" w:cs="Times New Roman"/>
          <w:color w:val="000000" w:themeColor="text1"/>
          <w:sz w:val="32"/>
          <w:szCs w:val="32"/>
          <w:lang w:val="en-US" w:eastAsia="zh-CN"/>
          <w14:textFill>
            <w14:solidFill>
              <w14:schemeClr w14:val="tx1"/>
            </w14:solidFill>
          </w14:textFill>
        </w:rPr>
        <w:t>W</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，类型为有限责任公司(自然人投资或控股)，成立于</w:t>
      </w:r>
      <w:r>
        <w:rPr>
          <w:rFonts w:hint="eastAsia" w:ascii="宋体" w:hAnsi="宋体" w:eastAsia="宋体" w:cs="宋体"/>
          <w:color w:val="000000" w:themeColor="text1"/>
          <w:sz w:val="32"/>
          <w:szCs w:val="32"/>
          <w:lang w:val="en-US" w:eastAsia="zh-CN"/>
          <w14:textFill>
            <w14:solidFill>
              <w14:schemeClr w14:val="tx1"/>
            </w14:solidFill>
          </w14:textFill>
        </w:rPr>
        <w:t>2015</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年</w:t>
      </w:r>
      <w:r>
        <w:rPr>
          <w:rFonts w:hint="eastAsia" w:ascii="宋体" w:hAnsi="宋体" w:eastAsia="宋体" w:cs="宋体"/>
          <w:color w:val="000000" w:themeColor="text1"/>
          <w:sz w:val="32"/>
          <w:szCs w:val="32"/>
          <w:lang w:val="en-US" w:eastAsia="zh-CN"/>
          <w14:textFill>
            <w14:solidFill>
              <w14:schemeClr w14:val="tx1"/>
            </w14:solidFill>
          </w14:textFill>
        </w:rPr>
        <w:t>4</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月</w:t>
      </w:r>
      <w:r>
        <w:rPr>
          <w:rFonts w:hint="eastAsia" w:ascii="宋体" w:hAnsi="宋体" w:eastAsia="宋体" w:cs="宋体"/>
          <w:color w:val="000000" w:themeColor="text1"/>
          <w:sz w:val="32"/>
          <w:szCs w:val="32"/>
          <w:lang w:val="en-US" w:eastAsia="zh-CN"/>
          <w14:textFill>
            <w14:solidFill>
              <w14:schemeClr w14:val="tx1"/>
            </w14:solidFill>
          </w14:textFill>
        </w:rPr>
        <w:t>15</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日，住所为武汉市黄陂区前川街金映里</w:t>
      </w:r>
      <w:r>
        <w:rPr>
          <w:rFonts w:hint="eastAsia" w:ascii="宋体" w:hAnsi="宋体" w:eastAsia="宋体" w:cs="宋体"/>
          <w:color w:val="000000" w:themeColor="text1"/>
          <w:sz w:val="32"/>
          <w:szCs w:val="32"/>
          <w:lang w:val="en-US" w:eastAsia="zh-CN"/>
          <w14:textFill>
            <w14:solidFill>
              <w14:schemeClr w14:val="tx1"/>
            </w14:solidFill>
          </w14:textFill>
        </w:rPr>
        <w:t>63</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号，经营范围：建筑劳务分包，建筑材料销售，室内外装饰装潢工程施工，钢管扣件出租等。持有武汉市城乡建设局颁发的《建筑业企业施</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工劳务备案证书</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》，编号</w:t>
      </w:r>
      <w:r>
        <w:rPr>
          <w:rFonts w:hint="eastAsia" w:ascii="Times New Roman" w:hAnsi="Times New Roman" w:eastAsia="宋体" w:cs="Times New Roman"/>
          <w:color w:val="000000" w:themeColor="text1"/>
          <w:sz w:val="32"/>
          <w:szCs w:val="32"/>
          <w:lang w:val="en-US" w:eastAsia="zh-CN"/>
          <w14:textFill>
            <w14:solidFill>
              <w14:schemeClr w14:val="tx1"/>
            </w14:solidFill>
          </w14:textFill>
        </w:rPr>
        <w:t>BA</w:t>
      </w:r>
      <w:r>
        <w:rPr>
          <w:rFonts w:hint="eastAsia" w:ascii="宋体" w:hAnsi="宋体" w:eastAsia="宋体" w:cs="宋体"/>
          <w:color w:val="000000" w:themeColor="text1"/>
          <w:sz w:val="32"/>
          <w:szCs w:val="32"/>
          <w:lang w:val="en-US" w:eastAsia="zh-CN"/>
          <w14:textFill>
            <w14:solidFill>
              <w14:schemeClr w14:val="tx1"/>
            </w14:solidFill>
          </w14:textFill>
        </w:rPr>
        <w:t>442042162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，有效期至</w:t>
      </w:r>
      <w:r>
        <w:rPr>
          <w:rFonts w:hint="eastAsia" w:ascii="宋体" w:hAnsi="宋体" w:eastAsia="宋体" w:cs="宋体"/>
          <w:color w:val="000000" w:themeColor="text1"/>
          <w:kern w:val="2"/>
          <w:sz w:val="32"/>
          <w:szCs w:val="32"/>
          <w:highlight w:val="none"/>
          <w:u w:val="none"/>
          <w:lang w:val="en-US" w:eastAsia="zh-CN" w:bidi="ar-SA"/>
          <w14:textFill>
            <w14:solidFill>
              <w14:schemeClr w14:val="tx1"/>
            </w14:solidFill>
          </w14:textFill>
        </w:rPr>
        <w:t>2029</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年</w:t>
      </w:r>
      <w:r>
        <w:rPr>
          <w:rFonts w:hint="eastAsia" w:ascii="宋体" w:hAnsi="宋体" w:eastAsia="宋体" w:cs="宋体"/>
          <w:color w:val="000000" w:themeColor="text1"/>
          <w:kern w:val="2"/>
          <w:sz w:val="32"/>
          <w:szCs w:val="32"/>
          <w:highlight w:val="none"/>
          <w:u w:val="none"/>
          <w:lang w:val="en-US" w:eastAsia="zh-CN" w:bidi="ar-SA"/>
          <w14:textFill>
            <w14:solidFill>
              <w14:schemeClr w14:val="tx1"/>
            </w14:solidFill>
          </w14:textFill>
        </w:rPr>
        <w:t>4</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月</w:t>
      </w:r>
      <w:r>
        <w:rPr>
          <w:rFonts w:hint="eastAsia" w:ascii="宋体" w:hAnsi="宋体" w:eastAsia="宋体" w:cs="宋体"/>
          <w:color w:val="000000" w:themeColor="text1"/>
          <w:kern w:val="2"/>
          <w:sz w:val="32"/>
          <w:szCs w:val="32"/>
          <w:highlight w:val="none"/>
          <w:u w:val="none"/>
          <w:lang w:val="en-US" w:eastAsia="zh-CN" w:bidi="ar-SA"/>
          <w14:textFill>
            <w14:solidFill>
              <w14:schemeClr w14:val="tx1"/>
            </w14:solidFill>
          </w14:textFill>
        </w:rPr>
        <w:t>6</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日。 </w:t>
      </w:r>
    </w:p>
    <w:p w14:paraId="6982BB5B">
      <w:pPr>
        <w:pStyle w:val="17"/>
        <w:keepNext w:val="0"/>
        <w:keepLines w:val="0"/>
        <w:pageBreakBefore w:val="0"/>
        <w:widowControl w:val="0"/>
        <w:numPr>
          <w:ilvl w:val="0"/>
          <w:numId w:val="0"/>
        </w:numPr>
        <w:kinsoku/>
        <w:wordWrap/>
        <w:overflowPunct/>
        <w:autoSpaceDE/>
        <w:autoSpaceDN/>
        <w:bidi w:val="0"/>
        <w:spacing w:line="560" w:lineRule="exact"/>
        <w:ind w:firstLine="643" w:firstLineChars="200"/>
        <w:jc w:val="both"/>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宋体" w:hAnsi="宋体" w:eastAsia="宋体" w:cs="宋体"/>
          <w:b/>
          <w:bCs/>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.武汉天晟达建筑劳务有限公司。</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以下简称“天晟达劳务公司”，劳务分包单位，统一信用代码：</w:t>
      </w:r>
      <w:r>
        <w:rPr>
          <w:rFonts w:hint="eastAsia" w:ascii="宋体" w:hAnsi="宋体" w:eastAsia="宋体" w:cs="宋体"/>
          <w:color w:val="000000" w:themeColor="text1"/>
          <w:sz w:val="32"/>
          <w:szCs w:val="32"/>
          <w:lang w:val="en-US" w:eastAsia="zh-CN"/>
          <w14:textFill>
            <w14:solidFill>
              <w14:schemeClr w14:val="tx1"/>
            </w14:solidFill>
          </w14:textFill>
        </w:rPr>
        <w:t>91420112</w:t>
      </w:r>
      <w:r>
        <w:rPr>
          <w:rFonts w:hint="eastAsia" w:ascii="Times New Roman" w:hAnsi="Times New Roman" w:eastAsia="宋体" w:cs="Times New Roman"/>
          <w:color w:val="000000" w:themeColor="text1"/>
          <w:sz w:val="32"/>
          <w:szCs w:val="32"/>
          <w:lang w:val="en-US" w:eastAsia="zh-CN"/>
          <w14:textFill>
            <w14:solidFill>
              <w14:schemeClr w14:val="tx1"/>
            </w14:solidFill>
          </w14:textFill>
        </w:rPr>
        <w:t>MA</w:t>
      </w:r>
      <w:r>
        <w:rPr>
          <w:rFonts w:hint="eastAsia" w:ascii="宋体" w:hAnsi="宋体" w:eastAsia="宋体" w:cs="宋体"/>
          <w:color w:val="000000" w:themeColor="text1"/>
          <w:sz w:val="32"/>
          <w:szCs w:val="32"/>
          <w:lang w:val="en-US" w:eastAsia="zh-CN"/>
          <w14:textFill>
            <w14:solidFill>
              <w14:schemeClr w14:val="tx1"/>
            </w14:solidFill>
          </w14:textFill>
        </w:rPr>
        <w:t>4</w:t>
      </w:r>
      <w:r>
        <w:rPr>
          <w:rFonts w:hint="eastAsia" w:ascii="Times New Roman" w:hAnsi="Times New Roman" w:eastAsia="宋体" w:cs="Times New Roman"/>
          <w:color w:val="000000" w:themeColor="text1"/>
          <w:sz w:val="32"/>
          <w:szCs w:val="32"/>
          <w:lang w:val="en-US" w:eastAsia="zh-CN"/>
          <w14:textFill>
            <w14:solidFill>
              <w14:schemeClr w14:val="tx1"/>
            </w14:solidFill>
          </w14:textFill>
        </w:rPr>
        <w:t>K</w:t>
      </w:r>
      <w:r>
        <w:rPr>
          <w:rFonts w:hint="eastAsia" w:ascii="宋体" w:hAnsi="宋体" w:eastAsia="宋体" w:cs="宋体"/>
          <w:color w:val="000000" w:themeColor="text1"/>
          <w:sz w:val="32"/>
          <w:szCs w:val="32"/>
          <w:lang w:val="en-US" w:eastAsia="zh-CN"/>
          <w14:textFill>
            <w14:solidFill>
              <w14:schemeClr w14:val="tx1"/>
            </w14:solidFill>
          </w14:textFill>
        </w:rPr>
        <w:t>2</w:t>
      </w:r>
      <w:r>
        <w:rPr>
          <w:rFonts w:hint="eastAsia" w:ascii="Times New Roman" w:hAnsi="Times New Roman" w:eastAsia="宋体" w:cs="Times New Roman"/>
          <w:color w:val="000000" w:themeColor="text1"/>
          <w:sz w:val="32"/>
          <w:szCs w:val="32"/>
          <w:lang w:val="en-US" w:eastAsia="zh-CN"/>
          <w14:textFill>
            <w14:solidFill>
              <w14:schemeClr w14:val="tx1"/>
            </w14:solidFill>
          </w14:textFill>
        </w:rPr>
        <w:t>FGKX</w:t>
      </w:r>
      <w:r>
        <w:rPr>
          <w:rFonts w:hint="eastAsia" w:ascii="宋体" w:hAnsi="宋体" w:eastAsia="宋体" w:cs="宋体"/>
          <w:color w:val="000000" w:themeColor="text1"/>
          <w:sz w:val="32"/>
          <w:szCs w:val="32"/>
          <w:lang w:val="en-US" w:eastAsia="zh-CN"/>
          <w14:textFill>
            <w14:solidFill>
              <w14:schemeClr w14:val="tx1"/>
            </w14:solidFill>
          </w14:textFill>
        </w:rPr>
        <w:t>9</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，类型为有限责任公司(自然人投资)，成立于</w:t>
      </w:r>
      <w:r>
        <w:rPr>
          <w:rFonts w:hint="eastAsia" w:ascii="宋体" w:hAnsi="宋体" w:eastAsia="宋体" w:cs="宋体"/>
          <w:color w:val="000000" w:themeColor="text1"/>
          <w:sz w:val="32"/>
          <w:szCs w:val="32"/>
          <w:lang w:val="en-US" w:eastAsia="zh-CN"/>
          <w14:textFill>
            <w14:solidFill>
              <w14:schemeClr w14:val="tx1"/>
            </w14:solidFill>
          </w14:textFill>
        </w:rPr>
        <w:t>20</w:t>
      </w:r>
      <w:r>
        <w:rPr>
          <w:rFonts w:hint="eastAsia" w:eastAsia="宋体" w:cs="宋体"/>
          <w:color w:val="000000" w:themeColor="text1"/>
          <w:sz w:val="32"/>
          <w:szCs w:val="32"/>
          <w:lang w:val="en-US" w:eastAsia="zh-CN"/>
          <w14:textFill>
            <w14:solidFill>
              <w14:schemeClr w14:val="tx1"/>
            </w14:solidFill>
          </w14:textFill>
        </w:rPr>
        <w:t>1</w:t>
      </w:r>
      <w:r>
        <w:rPr>
          <w:rFonts w:hint="eastAsia" w:ascii="宋体" w:hAnsi="宋体" w:eastAsia="宋体" w:cs="宋体"/>
          <w:color w:val="000000" w:themeColor="text1"/>
          <w:sz w:val="32"/>
          <w:szCs w:val="32"/>
          <w:lang w:val="en-US" w:eastAsia="zh-CN"/>
          <w14:textFill>
            <w14:solidFill>
              <w14:schemeClr w14:val="tx1"/>
            </w14:solidFill>
          </w14:textFill>
        </w:rPr>
        <w:t>8</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年</w:t>
      </w:r>
      <w:r>
        <w:rPr>
          <w:rFonts w:hint="eastAsia" w:ascii="宋体" w:hAnsi="宋体" w:eastAsia="宋体" w:cs="宋体"/>
          <w:color w:val="000000" w:themeColor="text1"/>
          <w:sz w:val="32"/>
          <w:szCs w:val="32"/>
          <w:lang w:val="en-US" w:eastAsia="zh-CN"/>
          <w14:textFill>
            <w14:solidFill>
              <w14:schemeClr w14:val="tx1"/>
            </w14:solidFill>
          </w14:textFill>
        </w:rPr>
        <w:t>12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月</w:t>
      </w:r>
      <w:r>
        <w:rPr>
          <w:rFonts w:hint="eastAsia" w:ascii="宋体" w:hAnsi="宋体" w:eastAsia="宋体" w:cs="宋体"/>
          <w:color w:val="000000" w:themeColor="text1"/>
          <w:sz w:val="32"/>
          <w:szCs w:val="32"/>
          <w:lang w:val="en-US" w:eastAsia="zh-CN"/>
          <w14:textFill>
            <w14:solidFill>
              <w14:schemeClr w14:val="tx1"/>
            </w14:solidFill>
          </w14:textFill>
        </w:rPr>
        <w:t>6</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日，住所为武汉市东西湖区梨花路</w:t>
      </w:r>
      <w:r>
        <w:rPr>
          <w:rFonts w:hint="eastAsia" w:ascii="宋体" w:hAnsi="宋体" w:eastAsia="宋体" w:cs="宋体"/>
          <w:color w:val="000000" w:themeColor="text1"/>
          <w:sz w:val="32"/>
          <w:szCs w:val="32"/>
          <w:lang w:val="en-US" w:eastAsia="zh-CN"/>
          <w14:textFill>
            <w14:solidFill>
              <w14:schemeClr w14:val="tx1"/>
            </w14:solidFill>
          </w14:textFill>
        </w:rPr>
        <w:t>399</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号（</w:t>
      </w:r>
      <w:r>
        <w:rPr>
          <w:rFonts w:hint="eastAsia" w:ascii="宋体" w:hAnsi="宋体" w:eastAsia="宋体" w:cs="宋体"/>
          <w:color w:val="000000" w:themeColor="text1"/>
          <w:sz w:val="32"/>
          <w:szCs w:val="32"/>
          <w:lang w:val="en-US" w:eastAsia="zh-CN"/>
          <w14:textFill>
            <w14:solidFill>
              <w14:schemeClr w14:val="tx1"/>
            </w14:solidFill>
          </w14:textFill>
        </w:rPr>
        <w:t>17</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），经营范围：建筑劳务分包；机械设备租赁；水电安装；模板脚手架工程、钢结构工程、建筑工程的施工等。</w:t>
      </w:r>
    </w:p>
    <w:p w14:paraId="0AF2F14D">
      <w:pPr>
        <w:pStyle w:val="17"/>
        <w:keepNext w:val="0"/>
        <w:keepLines w:val="0"/>
        <w:pageBreakBefore w:val="0"/>
        <w:widowControl w:val="0"/>
        <w:numPr>
          <w:ilvl w:val="0"/>
          <w:numId w:val="0"/>
        </w:numPr>
        <w:kinsoku/>
        <w:wordWrap/>
        <w:overflowPunct/>
        <w:topLinePunct/>
        <w:autoSpaceDE/>
        <w:autoSpaceDN/>
        <w:bidi w:val="0"/>
        <w:adjustRightInd w:val="0"/>
        <w:snapToGrid w:val="0"/>
        <w:spacing w:line="560" w:lineRule="exact"/>
        <w:ind w:firstLine="643"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宋体" w:hAnsi="宋体" w:eastAsia="宋体" w:cs="宋体"/>
          <w:b/>
          <w:bCs/>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.武汉市青山建设工程监理有限责任公司。</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以下简称“青山监理公司”，监理单位，统一信用代码：</w:t>
      </w:r>
      <w:r>
        <w:rPr>
          <w:rFonts w:hint="eastAsia" w:ascii="宋体" w:hAnsi="宋体" w:eastAsia="宋体" w:cs="宋体"/>
          <w:color w:val="000000" w:themeColor="text1"/>
          <w:kern w:val="2"/>
          <w:sz w:val="32"/>
          <w:szCs w:val="32"/>
          <w:highlight w:val="none"/>
          <w:u w:val="none"/>
          <w:lang w:val="en-US" w:eastAsia="zh-CN" w:bidi="ar-SA"/>
          <w14:textFill>
            <w14:solidFill>
              <w14:schemeClr w14:val="tx1"/>
            </w14:solidFill>
          </w14:textFill>
        </w:rPr>
        <w:t>914201071780215466</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，类型</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为有限责任公司(自然人投资或控股)，成立于</w:t>
      </w:r>
      <w:r>
        <w:rPr>
          <w:rFonts w:hint="eastAsia" w:ascii="宋体" w:hAnsi="宋体" w:eastAsia="宋体" w:cs="宋体"/>
          <w:color w:val="000000" w:themeColor="text1"/>
          <w:sz w:val="32"/>
          <w:szCs w:val="32"/>
          <w:highlight w:val="none"/>
          <w:lang w:val="en-US" w:eastAsia="zh-CN"/>
          <w14:textFill>
            <w14:solidFill>
              <w14:schemeClr w14:val="tx1"/>
            </w14:solidFill>
          </w14:textFill>
        </w:rPr>
        <w:t>2003</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年</w:t>
      </w:r>
      <w:r>
        <w:rPr>
          <w:rFonts w:hint="eastAsia" w:ascii="宋体" w:hAnsi="宋体" w:eastAsia="宋体" w:cs="宋体"/>
          <w:color w:val="000000" w:themeColor="text1"/>
          <w:sz w:val="32"/>
          <w:szCs w:val="32"/>
          <w:highlight w:val="none"/>
          <w:lang w:val="en-US" w:eastAsia="zh-CN"/>
          <w14:textFill>
            <w14:solidFill>
              <w14:schemeClr w14:val="tx1"/>
            </w14:solidFill>
          </w14:textFill>
        </w:rPr>
        <w:t>9</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月</w:t>
      </w:r>
      <w:r>
        <w:rPr>
          <w:rFonts w:hint="eastAsia" w:ascii="宋体" w:hAnsi="宋体" w:eastAsia="宋体" w:cs="宋体"/>
          <w:color w:val="000000" w:themeColor="text1"/>
          <w:sz w:val="32"/>
          <w:szCs w:val="32"/>
          <w:highlight w:val="none"/>
          <w:lang w:val="en-US" w:eastAsia="zh-CN"/>
          <w14:textFill>
            <w14:solidFill>
              <w14:schemeClr w14:val="tx1"/>
            </w14:solidFill>
          </w14:textFill>
        </w:rPr>
        <w:t>4</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日，住所为湖北省武汉市青山区和平大道</w:t>
      </w:r>
      <w:r>
        <w:rPr>
          <w:rFonts w:hint="eastAsia" w:ascii="宋体" w:hAnsi="宋体" w:eastAsia="宋体" w:cs="宋体"/>
          <w:color w:val="000000" w:themeColor="text1"/>
          <w:sz w:val="32"/>
          <w:szCs w:val="32"/>
          <w:highlight w:val="none"/>
          <w:lang w:val="en-US" w:eastAsia="zh-CN"/>
          <w14:textFill>
            <w14:solidFill>
              <w14:schemeClr w14:val="tx1"/>
            </w14:solidFill>
          </w14:textFill>
        </w:rPr>
        <w:t>1284</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号中银大厦</w:t>
      </w:r>
      <w:r>
        <w:rPr>
          <w:rFonts w:hint="eastAsia" w:ascii="宋体" w:hAnsi="宋体" w:eastAsia="宋体" w:cs="宋体"/>
          <w:color w:val="000000" w:themeColor="text1"/>
          <w:sz w:val="32"/>
          <w:szCs w:val="32"/>
          <w:highlight w:val="none"/>
          <w:lang w:val="en-US" w:eastAsia="zh-CN"/>
          <w14:textFill>
            <w14:solidFill>
              <w14:schemeClr w14:val="tx1"/>
            </w14:solidFill>
          </w14:textFill>
        </w:rPr>
        <w:t>10</w:t>
      </w:r>
      <w:r>
        <w:rPr>
          <w:rFonts w:hint="eastAsia" w:ascii="Times New Roman" w:hAnsi="Times New Roman" w:eastAsia="宋体" w:cs="Times New Roman"/>
          <w:color w:val="000000" w:themeColor="text1"/>
          <w:sz w:val="32"/>
          <w:szCs w:val="32"/>
          <w:highlight w:val="none"/>
          <w:lang w:val="en-US" w:eastAsia="zh-CN"/>
          <w14:textFill>
            <w14:solidFill>
              <w14:schemeClr w14:val="tx1"/>
            </w14:solidFill>
          </w14:textFill>
        </w:rPr>
        <w:t>A</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号，经营范围：工程建设监理，新工艺推广，建筑新技术开发等。持有中华人民共和国住房和城乡建设部颁发的《工程监理资质证书》，</w:t>
      </w:r>
      <w:r>
        <w:rPr>
          <w:rFonts w:hint="eastAsia" w:ascii="仿宋_GB2312" w:hAnsi="仿宋_GB2312" w:eastAsia="仿宋_GB2312" w:cs="仿宋_GB2312"/>
          <w:sz w:val="32"/>
          <w:szCs w:val="32"/>
          <w:highlight w:val="none"/>
          <w:lang w:val="en-US" w:eastAsia="zh-CN"/>
        </w:rPr>
        <w:t>编号：</w:t>
      </w:r>
      <w:r>
        <w:rPr>
          <w:rFonts w:hint="eastAsia" w:ascii="Times New Roman" w:hAnsi="Times New Roman" w:eastAsia="仿宋_GB2312" w:cs="Times New Roman"/>
          <w:sz w:val="32"/>
          <w:szCs w:val="32"/>
          <w:highlight w:val="none"/>
          <w:lang w:val="en-US" w:eastAsia="zh-CN"/>
        </w:rPr>
        <w:t>E</w:t>
      </w:r>
      <w:r>
        <w:rPr>
          <w:rFonts w:hint="eastAsia" w:ascii="宋体" w:hAnsi="宋体" w:eastAsia="宋体" w:cs="宋体"/>
          <w:sz w:val="32"/>
          <w:szCs w:val="32"/>
          <w:highlight w:val="none"/>
          <w:lang w:val="en-US" w:eastAsia="zh-CN"/>
        </w:rPr>
        <w:t>142002187</w:t>
      </w:r>
      <w:r>
        <w:rPr>
          <w:rFonts w:hint="eastAsia" w:ascii="仿宋_GB2312" w:hAnsi="仿宋_GB2312" w:eastAsia="仿宋_GB2312" w:cs="仿宋_GB2312"/>
          <w:sz w:val="32"/>
          <w:szCs w:val="32"/>
          <w:highlight w:val="none"/>
          <w:lang w:val="en-US" w:eastAsia="zh-CN"/>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有效期至</w:t>
      </w:r>
      <w:r>
        <w:rPr>
          <w:rFonts w:hint="eastAsia" w:ascii="宋体" w:hAnsi="宋体" w:eastAsia="宋体" w:cs="宋体"/>
          <w:color w:val="000000" w:themeColor="text1"/>
          <w:kern w:val="2"/>
          <w:sz w:val="32"/>
          <w:szCs w:val="32"/>
          <w:highlight w:val="none"/>
          <w:u w:val="none"/>
          <w:lang w:val="en-US" w:eastAsia="zh-CN" w:bidi="ar-SA"/>
          <w14:textFill>
            <w14:solidFill>
              <w14:schemeClr w14:val="tx1"/>
            </w14:solidFill>
          </w14:textFill>
        </w:rPr>
        <w:t>2029</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年</w:t>
      </w:r>
      <w:r>
        <w:rPr>
          <w:rFonts w:hint="eastAsia" w:ascii="宋体" w:hAnsi="宋体" w:eastAsia="宋体" w:cs="宋体"/>
          <w:color w:val="000000" w:themeColor="text1"/>
          <w:kern w:val="2"/>
          <w:sz w:val="32"/>
          <w:szCs w:val="32"/>
          <w:highlight w:val="none"/>
          <w:u w:val="none"/>
          <w:lang w:val="en-US" w:eastAsia="zh-CN" w:bidi="ar-SA"/>
          <w14:textFill>
            <w14:solidFill>
              <w14:schemeClr w14:val="tx1"/>
            </w14:solidFill>
          </w14:textFill>
        </w:rPr>
        <w:t>3</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月</w:t>
      </w:r>
      <w:r>
        <w:rPr>
          <w:rFonts w:hint="eastAsia" w:ascii="宋体" w:hAnsi="宋体" w:eastAsia="宋体" w:cs="宋体"/>
          <w:color w:val="000000" w:themeColor="text1"/>
          <w:kern w:val="2"/>
          <w:sz w:val="32"/>
          <w:szCs w:val="32"/>
          <w:highlight w:val="none"/>
          <w:u w:val="none"/>
          <w:lang w:val="en-US" w:eastAsia="zh-CN" w:bidi="ar-SA"/>
          <w14:textFill>
            <w14:solidFill>
              <w14:schemeClr w14:val="tx1"/>
            </w14:solidFill>
          </w14:textFill>
        </w:rPr>
        <w:t>28</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日，资质等级包括房屋建筑工程监理甲级；市政工程监理甲级。</w:t>
      </w:r>
    </w:p>
    <w:p w14:paraId="38803068">
      <w:pPr>
        <w:pStyle w:val="17"/>
        <w:keepNext w:val="0"/>
        <w:keepLines w:val="0"/>
        <w:pageBreakBefore w:val="0"/>
        <w:widowControl w:val="0"/>
        <w:numPr>
          <w:ilvl w:val="0"/>
          <w:numId w:val="0"/>
        </w:numPr>
        <w:kinsoku/>
        <w:wordWrap/>
        <w:overflowPunct/>
        <w:autoSpaceDE/>
        <w:autoSpaceDN/>
        <w:bidi w:val="0"/>
        <w:spacing w:line="560" w:lineRule="exact"/>
        <w:ind w:firstLine="643" w:firstLineChars="200"/>
        <w:jc w:val="both"/>
        <w:textAlignment w:val="auto"/>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宋体" w:hAnsi="宋体" w:eastAsia="宋体" w:cs="宋体"/>
          <w:b/>
          <w:bCs/>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.武汉邦成盛泰置业有限公司。</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以下简称</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“邦成置业公</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司”，建</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设单位，统一信用代码：</w:t>
      </w:r>
      <w:r>
        <w:rPr>
          <w:rFonts w:hint="eastAsia" w:ascii="宋体" w:hAnsi="宋体" w:eastAsia="宋体" w:cs="宋体"/>
          <w:color w:val="000000" w:themeColor="text1"/>
          <w:sz w:val="32"/>
          <w:szCs w:val="32"/>
          <w:highlight w:val="none"/>
          <w:lang w:val="en-US" w:eastAsia="zh-CN"/>
          <w14:textFill>
            <w14:solidFill>
              <w14:schemeClr w14:val="tx1"/>
            </w14:solidFill>
          </w14:textFill>
        </w:rPr>
        <w:t>91420107</w:t>
      </w:r>
      <w:r>
        <w:rPr>
          <w:rFonts w:hint="eastAsia" w:ascii="Times New Roman" w:hAnsi="Times New Roman" w:eastAsia="宋体" w:cs="Times New Roman"/>
          <w:color w:val="000000" w:themeColor="text1"/>
          <w:sz w:val="32"/>
          <w:szCs w:val="32"/>
          <w:highlight w:val="none"/>
          <w:lang w:val="en-US" w:eastAsia="zh-CN"/>
          <w14:textFill>
            <w14:solidFill>
              <w14:schemeClr w14:val="tx1"/>
            </w14:solidFill>
          </w14:textFill>
        </w:rPr>
        <w:t>MAEFD</w:t>
      </w:r>
      <w:r>
        <w:rPr>
          <w:rFonts w:hint="eastAsia" w:ascii="宋体" w:hAnsi="宋体" w:eastAsia="宋体" w:cs="宋体"/>
          <w:color w:val="000000" w:themeColor="text1"/>
          <w:sz w:val="32"/>
          <w:szCs w:val="32"/>
          <w:highlight w:val="none"/>
          <w:lang w:val="en-US" w:eastAsia="zh-CN"/>
          <w14:textFill>
            <w14:solidFill>
              <w14:schemeClr w14:val="tx1"/>
            </w14:solidFill>
          </w14:textFill>
        </w:rPr>
        <w:t>79</w:t>
      </w:r>
      <w:r>
        <w:rPr>
          <w:rFonts w:hint="eastAsia" w:ascii="Times New Roman" w:hAnsi="Times New Roman" w:eastAsia="宋体" w:cs="Times New Roman"/>
          <w:color w:val="000000" w:themeColor="text1"/>
          <w:sz w:val="32"/>
          <w:szCs w:val="32"/>
          <w:highlight w:val="none"/>
          <w:lang w:val="en-US" w:eastAsia="zh-CN"/>
          <w14:textFill>
            <w14:solidFill>
              <w14:schemeClr w14:val="tx1"/>
            </w14:solidFill>
          </w14:textFill>
        </w:rPr>
        <w:t>G</w:t>
      </w:r>
      <w:r>
        <w:rPr>
          <w:rFonts w:hint="eastAsia" w:ascii="宋体" w:hAnsi="宋体" w:eastAsia="宋体" w:cs="宋体"/>
          <w:color w:val="000000" w:themeColor="text1"/>
          <w:sz w:val="32"/>
          <w:szCs w:val="32"/>
          <w:highlight w:val="none"/>
          <w:lang w:val="en-US" w:eastAsia="zh-CN"/>
          <w14:textFill>
            <w14:solidFill>
              <w14:schemeClr w14:val="tx1"/>
            </w14:solidFill>
          </w14:textFill>
        </w:rPr>
        <w:t>4</w:t>
      </w:r>
      <w:r>
        <w:rPr>
          <w:rFonts w:hint="eastAsia" w:ascii="Times New Roman" w:hAnsi="Times New Roman" w:eastAsia="宋体" w:cs="Times New Roman"/>
          <w:color w:val="000000" w:themeColor="text1"/>
          <w:sz w:val="32"/>
          <w:szCs w:val="32"/>
          <w:highlight w:val="none"/>
          <w:lang w:val="en-US" w:eastAsia="zh-CN"/>
          <w14:textFill>
            <w14:solidFill>
              <w14:schemeClr w14:val="tx1"/>
            </w14:solidFill>
          </w14:textFill>
        </w:rPr>
        <w:t>Q</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，类型为有限责任公司(非自然人投资或控股的法人独资)，成立于</w:t>
      </w:r>
      <w:r>
        <w:rPr>
          <w:rFonts w:hint="eastAsia" w:ascii="宋体" w:hAnsi="宋体" w:eastAsia="宋体" w:cs="宋体"/>
          <w:color w:val="000000" w:themeColor="text1"/>
          <w:sz w:val="32"/>
          <w:szCs w:val="32"/>
          <w:highlight w:val="none"/>
          <w:lang w:val="en-US" w:eastAsia="zh-CN"/>
          <w14:textFill>
            <w14:solidFill>
              <w14:schemeClr w14:val="tx1"/>
            </w14:solidFill>
          </w14:textFill>
        </w:rPr>
        <w:t>2025</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年</w:t>
      </w:r>
      <w:r>
        <w:rPr>
          <w:rFonts w:hint="eastAsia" w:ascii="宋体" w:hAnsi="宋体" w:eastAsia="宋体" w:cs="宋体"/>
          <w:color w:val="000000" w:themeColor="text1"/>
          <w:sz w:val="32"/>
          <w:szCs w:val="32"/>
          <w:highlight w:val="none"/>
          <w:lang w:val="en-US" w:eastAsia="zh-CN"/>
          <w14:textFill>
            <w14:solidFill>
              <w14:schemeClr w14:val="tx1"/>
            </w14:solidFill>
          </w14:textFill>
        </w:rPr>
        <w:t>3</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月</w:t>
      </w:r>
      <w:r>
        <w:rPr>
          <w:rFonts w:hint="eastAsia" w:ascii="宋体" w:hAnsi="宋体" w:eastAsia="宋体" w:cs="宋体"/>
          <w:color w:val="000000" w:themeColor="text1"/>
          <w:sz w:val="32"/>
          <w:szCs w:val="32"/>
          <w:highlight w:val="none"/>
          <w:lang w:val="en-US" w:eastAsia="zh-CN"/>
          <w14:textFill>
            <w14:solidFill>
              <w14:schemeClr w14:val="tx1"/>
            </w14:solidFill>
          </w14:textFill>
        </w:rPr>
        <w:t>31</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日，住所为湖北省武汉市青山区红卫路街建设三路</w:t>
      </w:r>
      <w:r>
        <w:rPr>
          <w:rFonts w:hint="eastAsia" w:ascii="宋体" w:hAnsi="宋体" w:eastAsia="宋体" w:cs="宋体"/>
          <w:color w:val="000000" w:themeColor="text1"/>
          <w:sz w:val="32"/>
          <w:szCs w:val="32"/>
          <w:highlight w:val="none"/>
          <w:lang w:val="en-US" w:eastAsia="zh-CN"/>
          <w14:textFill>
            <w14:solidFill>
              <w14:schemeClr w14:val="tx1"/>
            </w14:solidFill>
          </w14:textFill>
        </w:rPr>
        <w:t>1</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栋</w:t>
      </w:r>
      <w:r>
        <w:rPr>
          <w:rFonts w:hint="eastAsia" w:ascii="宋体" w:hAnsi="宋体" w:eastAsia="宋体" w:cs="宋体"/>
          <w:color w:val="000000" w:themeColor="text1"/>
          <w:sz w:val="32"/>
          <w:szCs w:val="32"/>
          <w:highlight w:val="none"/>
          <w:lang w:val="en-US" w:eastAsia="zh-CN"/>
          <w14:textFill>
            <w14:solidFill>
              <w14:schemeClr w14:val="tx1"/>
            </w14:solidFill>
          </w14:textFill>
        </w:rPr>
        <w:t>1</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eastAsia" w:ascii="宋体" w:hAnsi="宋体" w:eastAsia="宋体" w:cs="宋体"/>
          <w:color w:val="000000" w:themeColor="text1"/>
          <w:sz w:val="32"/>
          <w:szCs w:val="32"/>
          <w:highlight w:val="none"/>
          <w:lang w:val="en-US" w:eastAsia="zh-CN"/>
          <w14:textFill>
            <w14:solidFill>
              <w14:schemeClr w14:val="tx1"/>
            </w14:solidFill>
          </w14:textFill>
        </w:rPr>
        <w:t>7</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层</w:t>
      </w:r>
      <w:r>
        <w:rPr>
          <w:rFonts w:hint="eastAsia" w:ascii="宋体" w:hAnsi="宋体" w:eastAsia="宋体" w:cs="宋体"/>
          <w:color w:val="000000" w:themeColor="text1"/>
          <w:sz w:val="32"/>
          <w:szCs w:val="32"/>
          <w:highlight w:val="none"/>
          <w:lang w:val="en-US" w:eastAsia="zh-CN"/>
          <w14:textFill>
            <w14:solidFill>
              <w14:schemeClr w14:val="tx1"/>
            </w14:solidFill>
          </w14:textFill>
        </w:rPr>
        <w:t>782</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号，经营范围：许可项目：房地产开发经</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营;住宅室内装饰装修;建设工程施工;建设工程设计;施工专业作业等</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。持有武汉市住房保障和房屋管理局颁发的《房地产开发企业资质证书》，编号：武房开〔</w:t>
      </w:r>
      <w:r>
        <w:rPr>
          <w:rFonts w:hint="eastAsia" w:ascii="宋体" w:hAnsi="宋体" w:eastAsia="宋体" w:cs="宋体"/>
          <w:color w:val="000000" w:themeColor="text1"/>
          <w:sz w:val="32"/>
          <w:szCs w:val="32"/>
          <w:highlight w:val="none"/>
          <w:lang w:val="en-US" w:eastAsia="zh-CN"/>
          <w14:textFill>
            <w14:solidFill>
              <w14:schemeClr w14:val="tx1"/>
            </w14:solidFill>
          </w14:textFill>
        </w:rPr>
        <w:t>2025</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eastAsia" w:ascii="宋体" w:hAnsi="宋体" w:eastAsia="宋体" w:cs="宋体"/>
          <w:color w:val="000000" w:themeColor="text1"/>
          <w:sz w:val="32"/>
          <w:szCs w:val="32"/>
          <w:highlight w:val="none"/>
          <w:lang w:val="en-US" w:eastAsia="zh-CN"/>
          <w14:textFill>
            <w14:solidFill>
              <w14:schemeClr w14:val="tx1"/>
            </w14:solidFill>
          </w14:textFill>
        </w:rPr>
        <w:t>00788</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号，有效期至</w:t>
      </w:r>
      <w:r>
        <w:rPr>
          <w:rFonts w:hint="eastAsia" w:ascii="宋体" w:hAnsi="宋体" w:eastAsia="宋体" w:cs="宋体"/>
          <w:color w:val="000000" w:themeColor="text1"/>
          <w:sz w:val="32"/>
          <w:szCs w:val="32"/>
          <w:highlight w:val="none"/>
          <w:lang w:val="en-US" w:eastAsia="zh-CN"/>
          <w14:textFill>
            <w14:solidFill>
              <w14:schemeClr w14:val="tx1"/>
            </w14:solidFill>
          </w14:textFill>
        </w:rPr>
        <w:t>2028</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年</w:t>
      </w:r>
      <w:r>
        <w:rPr>
          <w:rFonts w:hint="eastAsia" w:ascii="宋体" w:hAnsi="宋体" w:eastAsia="宋体" w:cs="宋体"/>
          <w:color w:val="000000" w:themeColor="text1"/>
          <w:sz w:val="32"/>
          <w:szCs w:val="32"/>
          <w:highlight w:val="none"/>
          <w:lang w:val="en-US" w:eastAsia="zh-CN"/>
          <w14:textFill>
            <w14:solidFill>
              <w14:schemeClr w14:val="tx1"/>
            </w14:solidFill>
          </w14:textFill>
        </w:rPr>
        <w:t>5</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月</w:t>
      </w:r>
      <w:r>
        <w:rPr>
          <w:rFonts w:hint="eastAsia" w:ascii="宋体" w:hAnsi="宋体" w:eastAsia="宋体" w:cs="宋体"/>
          <w:color w:val="000000" w:themeColor="text1"/>
          <w:sz w:val="32"/>
          <w:szCs w:val="32"/>
          <w:highlight w:val="none"/>
          <w:lang w:val="en-US" w:eastAsia="zh-CN"/>
          <w14:textFill>
            <w14:solidFill>
              <w14:schemeClr w14:val="tx1"/>
            </w14:solidFill>
          </w14:textFill>
        </w:rPr>
        <w:t>19</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日。</w:t>
      </w:r>
    </w:p>
    <w:p w14:paraId="100BE85B">
      <w:pPr>
        <w:pStyle w:val="10"/>
        <w:keepNext w:val="0"/>
        <w:keepLines w:val="0"/>
        <w:pageBreakBefore w:val="0"/>
        <w:widowControl w:val="0"/>
        <w:kinsoku/>
        <w:wordWrap/>
        <w:overflowPunct/>
        <w:autoSpaceDE/>
        <w:autoSpaceDN/>
        <w:bidi w:val="0"/>
        <w:spacing w:line="560" w:lineRule="exact"/>
        <w:ind w:left="0" w:leftChars="0" w:firstLine="643" w:firstLineChars="200"/>
        <w:jc w:val="both"/>
        <w:textAlignment w:val="auto"/>
        <w:outlineLvl w:val="1"/>
        <w:rPr>
          <w:rFonts w:hint="eastAsia" w:ascii="楷体_GB2312" w:hAnsi="楷体_GB2312" w:eastAsia="楷体_GB2312" w:cs="楷体_GB2312"/>
          <w:b/>
          <w:bCs/>
          <w:sz w:val="32"/>
          <w:szCs w:val="32"/>
          <w:lang w:val="en-US" w:eastAsia="zh-CN"/>
        </w:rPr>
      </w:pPr>
      <w:bookmarkStart w:id="28" w:name="_Toc20317"/>
      <w:r>
        <w:rPr>
          <w:rFonts w:hint="eastAsia" w:ascii="楷体_GB2312" w:hAnsi="楷体_GB2312" w:eastAsia="楷体_GB2312" w:cs="楷体_GB2312"/>
          <w:b/>
          <w:bCs/>
          <w:sz w:val="32"/>
          <w:szCs w:val="32"/>
          <w:lang w:val="en-US" w:eastAsia="zh-CN"/>
        </w:rPr>
        <w:t>（二）事故项目及相关合同情况</w:t>
      </w:r>
      <w:bookmarkEnd w:id="28"/>
    </w:p>
    <w:p w14:paraId="1594BBA7">
      <w:pPr>
        <w:pStyle w:val="17"/>
        <w:keepNext w:val="0"/>
        <w:keepLines w:val="0"/>
        <w:pageBreakBefore w:val="0"/>
        <w:widowControl w:val="0"/>
        <w:kinsoku/>
        <w:wordWrap/>
        <w:overflowPunct/>
        <w:autoSpaceDE/>
        <w:autoSpaceDN/>
        <w:bidi w:val="0"/>
        <w:spacing w:line="560" w:lineRule="exact"/>
        <w:textAlignment w:val="auto"/>
        <w:rPr>
          <w:rFonts w:hint="default" w:ascii="Times New Roman" w:hAnsi="Times New Roman" w:eastAsia="仿宋_GB2312" w:cs="Times New Roman"/>
          <w:color w:val="000000" w:themeColor="text1"/>
          <w:kern w:val="2"/>
          <w:sz w:val="32"/>
          <w:szCs w:val="32"/>
          <w:u w:val="none"/>
          <w:lang w:val="en-US" w:eastAsia="zh-CN" w:bidi="ar-SA"/>
          <w14:textFill>
            <w14:solidFill>
              <w14:schemeClr w14:val="tx1"/>
            </w14:solidFill>
          </w14:textFill>
        </w:rPr>
      </w:pPr>
      <w:bookmarkStart w:id="29" w:name="_Toc1472"/>
      <w:bookmarkStart w:id="30" w:name="_Toc16286"/>
      <w:r>
        <w:rPr>
          <w:rFonts w:hint="eastAsia" w:ascii="宋体" w:hAnsi="宋体" w:eastAsia="宋体" w:cs="宋体"/>
          <w:b/>
          <w:bCs/>
          <w:color w:val="000000" w:themeColor="text1"/>
          <w:kern w:val="2"/>
          <w:sz w:val="32"/>
          <w:szCs w:val="32"/>
          <w:u w:val="none"/>
          <w:lang w:val="en-US" w:eastAsia="zh-CN" w:bidi="ar-SA"/>
          <w14:textFill>
            <w14:solidFill>
              <w14:schemeClr w14:val="tx1"/>
            </w14:solidFill>
          </w14:textFill>
        </w:rPr>
        <w:t>1</w:t>
      </w:r>
      <w:r>
        <w:rPr>
          <w:rFonts w:hint="eastAsia" w:ascii="Times New Roman" w:hAnsi="Times New Roman" w:eastAsia="仿宋_GB2312" w:cs="Times New Roman"/>
          <w:b/>
          <w:bCs/>
          <w:color w:val="000000" w:themeColor="text1"/>
          <w:kern w:val="2"/>
          <w:sz w:val="32"/>
          <w:szCs w:val="32"/>
          <w:u w:val="none"/>
          <w:lang w:val="en-US" w:eastAsia="zh-CN" w:bidi="ar-SA"/>
          <w14:textFill>
            <w14:solidFill>
              <w14:schemeClr w14:val="tx1"/>
            </w14:solidFill>
          </w14:textFill>
        </w:rPr>
        <w:t>.项目基本情况。</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华美饲料地块及青山滨江西片</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F</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地块（邦泰·璟和）项目</w:t>
      </w:r>
      <w:r>
        <w:rPr>
          <w:rFonts w:hint="eastAsia" w:ascii="Times New Roman" w:hAnsi="Times New Roman" w:eastAsia="仿宋_GB2312" w:cs="Times New Roman"/>
          <w:color w:val="000000" w:themeColor="text1"/>
          <w:kern w:val="2"/>
          <w:sz w:val="32"/>
          <w:szCs w:val="32"/>
          <w:u w:val="none"/>
          <w:lang w:val="en-US" w:eastAsia="zh-CN" w:bidi="ar-SA"/>
          <w14:textFill>
            <w14:solidFill>
              <w14:schemeClr w14:val="tx1"/>
            </w14:solidFill>
          </w14:textFill>
        </w:rPr>
        <w:t>，建设地址为武汉市青山区临江大道与三弓路交汇处，总建筑面积为</w:t>
      </w:r>
      <w:r>
        <w:rPr>
          <w:rFonts w:hint="eastAsia" w:ascii="宋体" w:hAnsi="宋体" w:eastAsia="宋体" w:cs="宋体"/>
          <w:color w:val="000000" w:themeColor="text1"/>
          <w:kern w:val="2"/>
          <w:sz w:val="32"/>
          <w:szCs w:val="32"/>
          <w:highlight w:val="none"/>
          <w:u w:val="none"/>
          <w:lang w:val="en-US" w:eastAsia="zh-CN" w:bidi="ar-SA"/>
          <w14:textFill>
            <w14:solidFill>
              <w14:schemeClr w14:val="tx1"/>
            </w14:solidFill>
          </w14:textFill>
        </w:rPr>
        <w:t>99485</w:t>
      </w:r>
      <w:r>
        <w:rPr>
          <w:rFonts w:hint="eastAsia" w:eastAsia="宋体" w:cs="宋体"/>
          <w:color w:val="000000" w:themeColor="text1"/>
          <w:kern w:val="2"/>
          <w:sz w:val="32"/>
          <w:szCs w:val="32"/>
          <w:highlight w:val="none"/>
          <w:u w:val="none"/>
          <w:lang w:val="en-US" w:eastAsia="zh-CN" w:bidi="ar-SA"/>
          <w14:textFill>
            <w14:solidFill>
              <w14:schemeClr w14:val="tx1"/>
            </w14:solidFill>
          </w14:textFill>
        </w:rPr>
        <w:t>.</w:t>
      </w:r>
      <w:r>
        <w:rPr>
          <w:rFonts w:hint="eastAsia" w:ascii="宋体" w:hAnsi="宋体" w:eastAsia="宋体" w:cs="宋体"/>
          <w:color w:val="000000" w:themeColor="text1"/>
          <w:kern w:val="2"/>
          <w:sz w:val="32"/>
          <w:szCs w:val="32"/>
          <w:highlight w:val="none"/>
          <w:u w:val="none"/>
          <w:lang w:val="en-US" w:eastAsia="zh-CN" w:bidi="ar-SA"/>
          <w14:textFill>
            <w14:solidFill>
              <w14:schemeClr w14:val="tx1"/>
            </w14:solidFill>
          </w14:textFill>
        </w:rPr>
        <w:t>83</w:t>
      </w:r>
      <w:r>
        <w:rPr>
          <w:rFonts w:hint="eastAsia" w:ascii="Times New Roman" w:hAnsi="Times New Roman" w:eastAsia="宋体" w:cs="Times New Roman"/>
          <w:color w:val="000000" w:themeColor="text1"/>
          <w:kern w:val="2"/>
          <w:sz w:val="32"/>
          <w:szCs w:val="32"/>
          <w:u w:val="none"/>
          <w:lang w:val="en-US" w:eastAsia="zh-CN" w:bidi="ar-SA"/>
          <w14:textFill>
            <w14:solidFill>
              <w14:schemeClr w14:val="tx1"/>
            </w14:solidFill>
          </w14:textFill>
        </w:rPr>
        <w:t>m</w:t>
      </w:r>
      <w:r>
        <w:rPr>
          <w:rFonts w:hint="eastAsia" w:ascii="宋体" w:hAnsi="宋体" w:eastAsia="宋体" w:cs="宋体"/>
          <w:color w:val="000000" w:themeColor="text1"/>
          <w:kern w:val="2"/>
          <w:sz w:val="32"/>
          <w:szCs w:val="32"/>
          <w:u w:val="none"/>
          <w:vertAlign w:val="superscript"/>
          <w:lang w:val="en-US" w:eastAsia="zh-CN" w:bidi="ar-SA"/>
          <w14:textFill>
            <w14:solidFill>
              <w14:schemeClr w14:val="tx1"/>
            </w14:solidFill>
          </w14:textFill>
        </w:rPr>
        <w:t>2</w:t>
      </w:r>
      <w:r>
        <w:rPr>
          <w:rFonts w:hint="eastAsia" w:ascii="Times New Roman" w:hAnsi="Times New Roman" w:eastAsia="宋体" w:cs="Times New Roman"/>
          <w:color w:val="000000" w:themeColor="text1"/>
          <w:kern w:val="2"/>
          <w:sz w:val="32"/>
          <w:szCs w:val="32"/>
          <w:u w:val="none"/>
          <w:vertAlign w:val="baseline"/>
          <w:lang w:val="en-US" w:eastAsia="zh-CN" w:bidi="ar-SA"/>
          <w14:textFill>
            <w14:solidFill>
              <w14:schemeClr w14:val="tx1"/>
            </w14:solidFill>
          </w14:textFill>
        </w:rPr>
        <w:t>，</w:t>
      </w:r>
      <w:r>
        <w:rPr>
          <w:rFonts w:hint="eastAsia" w:ascii="Times New Roman" w:hAnsi="Times New Roman" w:eastAsia="仿宋_GB2312" w:cs="Times New Roman"/>
          <w:color w:val="000000" w:themeColor="text1"/>
          <w:kern w:val="2"/>
          <w:sz w:val="32"/>
          <w:szCs w:val="32"/>
          <w:u w:val="none"/>
          <w:lang w:val="en-US" w:eastAsia="zh-CN" w:bidi="ar-SA"/>
          <w14:textFill>
            <w14:solidFill>
              <w14:schemeClr w14:val="tx1"/>
            </w14:solidFill>
          </w14:textFill>
        </w:rPr>
        <w:t>其中建筑住宅面积</w:t>
      </w: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73499</w:t>
      </w:r>
      <w:r>
        <w:rPr>
          <w:rFonts w:hint="eastAsia" w:ascii="Times New Roman" w:hAnsi="Times New Roman" w:eastAsia="仿宋_GB2312" w:cs="Times New Roman"/>
          <w:color w:val="000000" w:themeColor="text1"/>
          <w:kern w:val="2"/>
          <w:sz w:val="32"/>
          <w:szCs w:val="32"/>
          <w:u w:val="none"/>
          <w:lang w:val="en-US" w:eastAsia="zh-CN" w:bidi="ar-SA"/>
          <w14:textFill>
            <w14:solidFill>
              <w14:schemeClr w14:val="tx1"/>
            </w14:solidFill>
          </w14:textFill>
        </w:rPr>
        <w:t>.</w:t>
      </w: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01</w:t>
      </w:r>
      <w:r>
        <w:rPr>
          <w:rFonts w:hint="eastAsia" w:ascii="Times New Roman" w:hAnsi="Times New Roman" w:eastAsia="宋体" w:cs="Times New Roman"/>
          <w:color w:val="000000" w:themeColor="text1"/>
          <w:kern w:val="2"/>
          <w:sz w:val="32"/>
          <w:szCs w:val="32"/>
          <w:u w:val="none"/>
          <w:lang w:val="en-US" w:eastAsia="zh-CN" w:bidi="ar-SA"/>
          <w14:textFill>
            <w14:solidFill>
              <w14:schemeClr w14:val="tx1"/>
            </w14:solidFill>
          </w14:textFill>
        </w:rPr>
        <w:t>m</w:t>
      </w:r>
      <w:r>
        <w:rPr>
          <w:rFonts w:hint="eastAsia" w:ascii="宋体" w:hAnsi="宋体" w:eastAsia="宋体" w:cs="宋体"/>
          <w:color w:val="000000" w:themeColor="text1"/>
          <w:kern w:val="2"/>
          <w:sz w:val="32"/>
          <w:szCs w:val="32"/>
          <w:u w:val="none"/>
          <w:vertAlign w:val="superscript"/>
          <w:lang w:val="en-US" w:eastAsia="zh-CN" w:bidi="ar-SA"/>
          <w14:textFill>
            <w14:solidFill>
              <w14:schemeClr w14:val="tx1"/>
            </w14:solidFill>
          </w14:textFill>
        </w:rPr>
        <w:t>2</w:t>
      </w:r>
      <w:r>
        <w:rPr>
          <w:rFonts w:hint="eastAsia" w:ascii="Times New Roman" w:hAnsi="Times New Roman" w:eastAsia="宋体" w:cs="Times New Roman"/>
          <w:color w:val="000000" w:themeColor="text1"/>
          <w:kern w:val="2"/>
          <w:sz w:val="32"/>
          <w:szCs w:val="32"/>
          <w:u w:val="none"/>
          <w:vertAlign w:val="baseline"/>
          <w:lang w:val="en-US" w:eastAsia="zh-CN" w:bidi="ar-SA"/>
          <w14:textFill>
            <w14:solidFill>
              <w14:schemeClr w14:val="tx1"/>
            </w14:solidFill>
          </w14:textFill>
        </w:rPr>
        <w:t>，</w:t>
      </w:r>
      <w:r>
        <w:rPr>
          <w:rFonts w:hint="eastAsia" w:ascii="Times New Roman" w:hAnsi="Times New Roman" w:eastAsia="仿宋_GB2312" w:cs="Times New Roman"/>
          <w:color w:val="000000" w:themeColor="text1"/>
          <w:kern w:val="2"/>
          <w:sz w:val="32"/>
          <w:szCs w:val="32"/>
          <w:u w:val="none"/>
          <w:lang w:val="en-US" w:eastAsia="zh-CN" w:bidi="ar-SA"/>
          <w14:textFill>
            <w14:solidFill>
              <w14:schemeClr w14:val="tx1"/>
            </w14:solidFill>
          </w14:textFill>
        </w:rPr>
        <w:t>配套建筑面积</w:t>
      </w:r>
      <w:r>
        <w:rPr>
          <w:rFonts w:hint="eastAsia" w:ascii="宋体" w:hAnsi="宋体" w:eastAsia="宋体" w:cs="宋体"/>
          <w:color w:val="000000" w:themeColor="text1"/>
          <w:kern w:val="2"/>
          <w:sz w:val="32"/>
          <w:szCs w:val="32"/>
          <w:u w:val="none"/>
          <w:vertAlign w:val="baseline"/>
          <w:lang w:val="en-US" w:eastAsia="zh-CN" w:bidi="ar-SA"/>
          <w14:textFill>
            <w14:solidFill>
              <w14:schemeClr w14:val="tx1"/>
            </w14:solidFill>
          </w14:textFill>
        </w:rPr>
        <w:t>2491</w:t>
      </w:r>
      <w:r>
        <w:rPr>
          <w:rFonts w:hint="eastAsia" w:ascii="Times New Roman" w:hAnsi="Times New Roman" w:eastAsia="宋体" w:cs="Times New Roman"/>
          <w:color w:val="000000" w:themeColor="text1"/>
          <w:kern w:val="2"/>
          <w:sz w:val="32"/>
          <w:szCs w:val="32"/>
          <w:u w:val="none"/>
          <w:vertAlign w:val="baseline"/>
          <w:lang w:val="en-US" w:eastAsia="zh-CN" w:bidi="ar-SA"/>
          <w14:textFill>
            <w14:solidFill>
              <w14:schemeClr w14:val="tx1"/>
            </w14:solidFill>
          </w14:textFill>
        </w:rPr>
        <w:t>.</w:t>
      </w:r>
      <w:r>
        <w:rPr>
          <w:rFonts w:hint="eastAsia" w:ascii="宋体" w:hAnsi="宋体" w:eastAsia="宋体" w:cs="宋体"/>
          <w:color w:val="000000" w:themeColor="text1"/>
          <w:kern w:val="2"/>
          <w:sz w:val="32"/>
          <w:szCs w:val="32"/>
          <w:u w:val="none"/>
          <w:vertAlign w:val="baseline"/>
          <w:lang w:val="en-US" w:eastAsia="zh-CN" w:bidi="ar-SA"/>
          <w14:textFill>
            <w14:solidFill>
              <w14:schemeClr w14:val="tx1"/>
            </w14:solidFill>
          </w14:textFill>
        </w:rPr>
        <w:t>42</w:t>
      </w:r>
      <w:r>
        <w:rPr>
          <w:rFonts w:hint="eastAsia" w:ascii="Times New Roman" w:hAnsi="Times New Roman" w:eastAsia="宋体" w:cs="Times New Roman"/>
          <w:color w:val="000000" w:themeColor="text1"/>
          <w:kern w:val="2"/>
          <w:sz w:val="32"/>
          <w:szCs w:val="32"/>
          <w:u w:val="none"/>
          <w:lang w:val="en-US" w:eastAsia="zh-CN" w:bidi="ar-SA"/>
          <w14:textFill>
            <w14:solidFill>
              <w14:schemeClr w14:val="tx1"/>
            </w14:solidFill>
          </w14:textFill>
        </w:rPr>
        <w:t>m</w:t>
      </w:r>
      <w:r>
        <w:rPr>
          <w:rFonts w:hint="eastAsia" w:ascii="宋体" w:hAnsi="宋体" w:eastAsia="宋体" w:cs="宋体"/>
          <w:color w:val="000000" w:themeColor="text1"/>
          <w:kern w:val="2"/>
          <w:sz w:val="32"/>
          <w:szCs w:val="32"/>
          <w:u w:val="none"/>
          <w:vertAlign w:val="superscript"/>
          <w:lang w:val="en-US" w:eastAsia="zh-CN" w:bidi="ar-SA"/>
          <w14:textFill>
            <w14:solidFill>
              <w14:schemeClr w14:val="tx1"/>
            </w14:solidFill>
          </w14:textFill>
        </w:rPr>
        <w:t>2</w:t>
      </w:r>
      <w:r>
        <w:rPr>
          <w:rFonts w:hint="eastAsia" w:ascii="Times New Roman" w:hAnsi="Times New Roman" w:eastAsia="宋体" w:cs="Times New Roman"/>
          <w:color w:val="000000" w:themeColor="text1"/>
          <w:kern w:val="2"/>
          <w:sz w:val="32"/>
          <w:szCs w:val="32"/>
          <w:u w:val="none"/>
          <w:vertAlign w:val="baseline"/>
          <w:lang w:val="en-US" w:eastAsia="zh-CN" w:bidi="ar-SA"/>
          <w14:textFill>
            <w14:solidFill>
              <w14:schemeClr w14:val="tx1"/>
            </w14:solidFill>
          </w14:textFill>
        </w:rPr>
        <w:t>，</w:t>
      </w:r>
      <w:r>
        <w:rPr>
          <w:rFonts w:hint="eastAsia" w:ascii="Times New Roman" w:hAnsi="Times New Roman" w:eastAsia="仿宋_GB2312" w:cs="Times New Roman"/>
          <w:color w:val="000000" w:themeColor="text1"/>
          <w:kern w:val="2"/>
          <w:sz w:val="32"/>
          <w:szCs w:val="32"/>
          <w:u w:val="none"/>
          <w:lang w:val="en-US" w:eastAsia="zh-CN" w:bidi="ar-SA"/>
          <w14:textFill>
            <w14:solidFill>
              <w14:schemeClr w14:val="tx1"/>
            </w14:solidFill>
          </w14:textFill>
        </w:rPr>
        <w:t>地下建筑面积</w:t>
      </w:r>
      <w:r>
        <w:rPr>
          <w:rFonts w:hint="eastAsia" w:ascii="宋体" w:hAnsi="宋体" w:eastAsia="宋体" w:cs="宋体"/>
          <w:color w:val="000000" w:themeColor="text1"/>
          <w:kern w:val="2"/>
          <w:sz w:val="32"/>
          <w:szCs w:val="32"/>
          <w:u w:val="none"/>
          <w:vertAlign w:val="baseline"/>
          <w:lang w:val="en-US" w:eastAsia="zh-CN" w:bidi="ar-SA"/>
          <w14:textFill>
            <w14:solidFill>
              <w14:schemeClr w14:val="tx1"/>
            </w14:solidFill>
          </w14:textFill>
        </w:rPr>
        <w:t>21461</w:t>
      </w:r>
      <w:r>
        <w:rPr>
          <w:rFonts w:hint="eastAsia" w:ascii="Times New Roman" w:hAnsi="Times New Roman" w:eastAsia="宋体" w:cs="Times New Roman"/>
          <w:color w:val="000000" w:themeColor="text1"/>
          <w:kern w:val="2"/>
          <w:sz w:val="32"/>
          <w:szCs w:val="32"/>
          <w:u w:val="none"/>
          <w:vertAlign w:val="baseline"/>
          <w:lang w:val="en-US" w:eastAsia="zh-CN" w:bidi="ar-SA"/>
          <w14:textFill>
            <w14:solidFill>
              <w14:schemeClr w14:val="tx1"/>
            </w14:solidFill>
          </w14:textFill>
        </w:rPr>
        <w:t>.</w:t>
      </w:r>
      <w:r>
        <w:rPr>
          <w:rFonts w:hint="eastAsia" w:ascii="宋体" w:hAnsi="宋体" w:eastAsia="宋体" w:cs="宋体"/>
          <w:color w:val="000000" w:themeColor="text1"/>
          <w:kern w:val="2"/>
          <w:sz w:val="32"/>
          <w:szCs w:val="32"/>
          <w:u w:val="none"/>
          <w:vertAlign w:val="baseline"/>
          <w:lang w:val="en-US" w:eastAsia="zh-CN" w:bidi="ar-SA"/>
          <w14:textFill>
            <w14:solidFill>
              <w14:schemeClr w14:val="tx1"/>
            </w14:solidFill>
          </w14:textFill>
        </w:rPr>
        <w:t>75</w:t>
      </w:r>
      <w:r>
        <w:rPr>
          <w:rFonts w:hint="eastAsia" w:ascii="Times New Roman" w:hAnsi="Times New Roman" w:eastAsia="宋体" w:cs="Times New Roman"/>
          <w:color w:val="000000" w:themeColor="text1"/>
          <w:kern w:val="2"/>
          <w:sz w:val="32"/>
          <w:szCs w:val="32"/>
          <w:u w:val="none"/>
          <w:lang w:val="en-US" w:eastAsia="zh-CN" w:bidi="ar-SA"/>
          <w14:textFill>
            <w14:solidFill>
              <w14:schemeClr w14:val="tx1"/>
            </w14:solidFill>
          </w14:textFill>
        </w:rPr>
        <w:t>m</w:t>
      </w:r>
      <w:r>
        <w:rPr>
          <w:rFonts w:hint="eastAsia" w:ascii="宋体" w:hAnsi="宋体" w:eastAsia="宋体" w:cs="宋体"/>
          <w:color w:val="000000" w:themeColor="text1"/>
          <w:kern w:val="2"/>
          <w:sz w:val="32"/>
          <w:szCs w:val="32"/>
          <w:u w:val="none"/>
          <w:vertAlign w:val="superscript"/>
          <w:lang w:val="en-US" w:eastAsia="zh-CN" w:bidi="ar-SA"/>
          <w14:textFill>
            <w14:solidFill>
              <w14:schemeClr w14:val="tx1"/>
            </w14:solidFill>
          </w14:textFill>
        </w:rPr>
        <w:t>2</w:t>
      </w:r>
      <w:r>
        <w:rPr>
          <w:rFonts w:hint="eastAsia" w:ascii="Times New Roman" w:hAnsi="Times New Roman" w:eastAsia="宋体" w:cs="Times New Roman"/>
          <w:color w:val="000000" w:themeColor="text1"/>
          <w:kern w:val="2"/>
          <w:sz w:val="32"/>
          <w:szCs w:val="32"/>
          <w:u w:val="none"/>
          <w:vertAlign w:val="baseline"/>
          <w:lang w:val="en-US" w:eastAsia="zh-CN" w:bidi="ar-SA"/>
          <w14:textFill>
            <w14:solidFill>
              <w14:schemeClr w14:val="tx1"/>
            </w14:solidFill>
          </w14:textFill>
        </w:rPr>
        <w:t>。</w:t>
      </w:r>
    </w:p>
    <w:p w14:paraId="5515229B">
      <w:pPr>
        <w:keepNext w:val="0"/>
        <w:keepLines w:val="0"/>
        <w:pageBreakBefore w:val="0"/>
        <w:widowControl w:val="0"/>
        <w:kinsoku/>
        <w:wordWrap/>
        <w:overflowPunct/>
        <w:autoSpaceDE/>
        <w:autoSpaceDN/>
        <w:bidi w:val="0"/>
        <w:spacing w:line="560" w:lineRule="exact"/>
        <w:ind w:firstLine="643"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宋体" w:hAnsi="宋体" w:eastAsia="宋体" w:cs="宋体"/>
          <w:b/>
          <w:bCs/>
          <w:color w:val="000000" w:themeColor="text1"/>
          <w:kern w:val="2"/>
          <w:sz w:val="32"/>
          <w:szCs w:val="32"/>
          <w:u w:val="none" w:color="auto"/>
          <w:lang w:val="en-US" w:eastAsia="zh-CN" w:bidi="ar-SA"/>
          <w14:textFill>
            <w14:solidFill>
              <w14:schemeClr w14:val="tx1"/>
            </w14:solidFill>
          </w14:textFill>
        </w:rPr>
        <w:t>2</w:t>
      </w:r>
      <w:r>
        <w:rPr>
          <w:rFonts w:hint="eastAsia" w:ascii="Times New Roman" w:hAnsi="Times New Roman" w:eastAsia="仿宋_GB2312" w:cs="Times New Roman"/>
          <w:b/>
          <w:bCs/>
          <w:color w:val="000000" w:themeColor="text1"/>
          <w:kern w:val="2"/>
          <w:sz w:val="32"/>
          <w:szCs w:val="32"/>
          <w:u w:val="none" w:color="auto"/>
          <w:lang w:val="en-US" w:eastAsia="zh-CN" w:bidi="ar-SA"/>
          <w14:textFill>
            <w14:solidFill>
              <w14:schemeClr w14:val="tx1"/>
            </w14:solidFill>
          </w14:textFill>
        </w:rPr>
        <w:t>.项目承包及分包情况。</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2025</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年</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5</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月</w:t>
      </w:r>
      <w:r>
        <w:rPr>
          <w:rFonts w:hint="eastAsia" w:ascii="宋体" w:hAnsi="宋体" w:eastAsia="宋体" w:cs="宋体"/>
          <w:color w:val="000000" w:themeColor="text1"/>
          <w:sz w:val="32"/>
          <w:szCs w:val="32"/>
          <w:lang w:val="en-US" w:eastAsia="zh-CN"/>
          <w14:textFill>
            <w14:solidFill>
              <w14:schemeClr w14:val="tx1"/>
            </w14:solidFill>
          </w14:textFill>
        </w:rPr>
        <w:t>1</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日，</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邦成置业公</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司（委托人）与青山监理公司（监理人）签订了《建设工程监理合同》，工程名称：武汉</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璟和项目</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监理。</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2025</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年</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9</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月</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1</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日，</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邦成置业公</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司（发包人）与</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欣易彩建筑公司</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（承包人）签订《</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华美饲料地块及青山滨江西片</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F</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地块（邦泰·璟和）项目</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建设工程施工合同》，工程名称：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美饲料地块及青山滨江西片</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F</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地块（邦泰·璟和）项目总承包工程</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宋体" w:hAnsi="宋体" w:eastAsia="宋体" w:cs="宋体"/>
          <w:color w:val="000000" w:themeColor="text1"/>
          <w:sz w:val="32"/>
          <w:szCs w:val="32"/>
          <w:lang w:val="en-US" w:eastAsia="zh-CN"/>
          <w14:textFill>
            <w14:solidFill>
              <w14:schemeClr w14:val="tx1"/>
            </w14:solidFill>
          </w14:textFill>
        </w:rPr>
        <w:t>2025</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年</w:t>
      </w:r>
      <w:r>
        <w:rPr>
          <w:rFonts w:hint="eastAsia" w:ascii="宋体" w:hAnsi="宋体" w:eastAsia="宋体" w:cs="宋体"/>
          <w:color w:val="000000" w:themeColor="text1"/>
          <w:sz w:val="32"/>
          <w:szCs w:val="32"/>
          <w:lang w:val="en-US" w:eastAsia="zh-CN"/>
          <w14:textFill>
            <w14:solidFill>
              <w14:schemeClr w14:val="tx1"/>
            </w14:solidFill>
          </w14:textFill>
        </w:rPr>
        <w:t>8</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月</w:t>
      </w:r>
      <w:r>
        <w:rPr>
          <w:rFonts w:hint="eastAsia" w:ascii="宋体" w:hAnsi="宋体" w:eastAsia="宋体" w:cs="宋体"/>
          <w:color w:val="000000" w:themeColor="text1"/>
          <w:sz w:val="32"/>
          <w:szCs w:val="32"/>
          <w:lang w:val="en-US" w:eastAsia="zh-CN"/>
          <w14:textFill>
            <w14:solidFill>
              <w14:schemeClr w14:val="tx1"/>
            </w14:solidFill>
          </w14:textFill>
        </w:rPr>
        <w:t>27</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日，</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欣易彩建筑公司</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（发包人）与坤建劳务公司签订了《武汉</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璟和项目装配式安装劳务分包</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合同》，将发包人承包的武汉</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璟和项目总承包建设工程中的装配式劳务分包给承包人施工完成。</w:t>
      </w:r>
      <w:r>
        <w:rPr>
          <w:rFonts w:hint="eastAsia" w:ascii="宋体" w:hAnsi="宋体" w:eastAsia="宋体" w:cs="宋体"/>
          <w:color w:val="000000" w:themeColor="text1"/>
          <w:sz w:val="32"/>
          <w:szCs w:val="32"/>
          <w:lang w:val="en-US" w:eastAsia="zh-CN"/>
          <w14:textFill>
            <w14:solidFill>
              <w14:schemeClr w14:val="tx1"/>
            </w14:solidFill>
          </w14:textFill>
        </w:rPr>
        <w:t>2025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w:t>
      </w:r>
      <w:r>
        <w:rPr>
          <w:rFonts w:hint="eastAsia" w:ascii="宋体" w:hAnsi="宋体" w:eastAsia="宋体" w:cs="宋体"/>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月</w:t>
      </w:r>
      <w:r>
        <w:rPr>
          <w:rFonts w:hint="eastAsia" w:ascii="宋体" w:hAnsi="宋体" w:eastAsia="宋体" w:cs="宋体"/>
          <w:color w:val="000000" w:themeColor="text1"/>
          <w:sz w:val="32"/>
          <w:szCs w:val="32"/>
          <w:lang w:val="en-US" w:eastAsia="zh-CN"/>
          <w14:textFill>
            <w14:solidFill>
              <w14:schemeClr w14:val="tx1"/>
            </w14:solidFill>
          </w14:textFill>
        </w:rPr>
        <w:t>20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日，</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欣易彩建筑公司</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（承租方）与庞源机械公司（出租方）签订了《武汉</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璟和项目塔吊租赁工程分包</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合同》，</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包括设备的安装、拆卸、进出场、维护维修、操作、编制安拆等。</w:t>
      </w:r>
      <w:r>
        <w:rPr>
          <w:rFonts w:hint="eastAsia" w:ascii="宋体" w:hAnsi="宋体" w:eastAsia="宋体" w:cs="宋体"/>
          <w:color w:val="000000" w:themeColor="text1"/>
          <w:sz w:val="32"/>
          <w:szCs w:val="32"/>
          <w:lang w:val="en-US" w:eastAsia="zh-CN"/>
          <w14:textFill>
            <w14:solidFill>
              <w14:schemeClr w14:val="tx1"/>
            </w14:solidFill>
          </w14:textFill>
        </w:rPr>
        <w:t>2025</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年</w:t>
      </w:r>
      <w:r>
        <w:rPr>
          <w:rFonts w:hint="eastAsia" w:ascii="宋体" w:hAnsi="宋体" w:eastAsia="宋体" w:cs="宋体"/>
          <w:color w:val="000000" w:themeColor="text1"/>
          <w:sz w:val="32"/>
          <w:szCs w:val="32"/>
          <w:lang w:val="en-US" w:eastAsia="zh-CN"/>
          <w14:textFill>
            <w14:solidFill>
              <w14:schemeClr w14:val="tx1"/>
            </w14:solidFill>
          </w14:textFill>
        </w:rPr>
        <w:t>8</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月</w:t>
      </w:r>
      <w:r>
        <w:rPr>
          <w:rFonts w:hint="eastAsia" w:ascii="宋体" w:hAnsi="宋体" w:eastAsia="宋体" w:cs="宋体"/>
          <w:color w:val="000000" w:themeColor="text1"/>
          <w:sz w:val="32"/>
          <w:szCs w:val="32"/>
          <w:lang w:val="en-US" w:eastAsia="zh-CN"/>
          <w14:textFill>
            <w14:solidFill>
              <w14:schemeClr w14:val="tx1"/>
            </w14:solidFill>
          </w14:textFill>
        </w:rPr>
        <w:t>27</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日，庞源机械公司（甲方）与天晟达劳务公司（乙方）签订了《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湖北庞源机械工程有限公司劳务分包合同（塔吊）》</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，劳务内容包括塔式起重机的操作、</w:t>
      </w:r>
      <w:r>
        <w:rPr>
          <w:rFonts w:hint="eastAsia" w:ascii="宋体" w:hAnsi="宋体" w:eastAsia="宋体" w:cs="宋体"/>
          <w:color w:val="000000" w:themeColor="text1"/>
          <w:sz w:val="32"/>
          <w:szCs w:val="32"/>
          <w:lang w:val="en-US" w:eastAsia="zh-CN"/>
          <w14:textFill>
            <w14:solidFill>
              <w14:schemeClr w14:val="tx1"/>
            </w14:solidFill>
          </w14:textFill>
        </w:rPr>
        <w:t>1</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宋体" w:hAnsi="宋体" w:eastAsia="宋体" w:cs="宋体"/>
          <w:color w:val="000000" w:themeColor="text1"/>
          <w:sz w:val="32"/>
          <w:szCs w:val="32"/>
          <w:lang w:val="en-US" w:eastAsia="zh-CN"/>
          <w14:textFill>
            <w14:solidFill>
              <w14:schemeClr w14:val="tx1"/>
            </w14:solidFill>
          </w14:textFill>
        </w:rPr>
        <w:t>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个指挥工作面的指挥、日常班前班后检查、清洁、物资报管。</w:t>
      </w:r>
    </w:p>
    <w:bookmarkEnd w:id="29"/>
    <w:bookmarkEnd w:id="30"/>
    <w:p w14:paraId="05DBDBFA">
      <w:pPr>
        <w:pStyle w:val="10"/>
        <w:keepNext w:val="0"/>
        <w:keepLines w:val="0"/>
        <w:pageBreakBefore w:val="0"/>
        <w:widowControl w:val="0"/>
        <w:kinsoku/>
        <w:wordWrap/>
        <w:overflowPunct/>
        <w:autoSpaceDE/>
        <w:autoSpaceDN/>
        <w:bidi w:val="0"/>
        <w:spacing w:line="560" w:lineRule="exact"/>
        <w:ind w:left="0" w:leftChars="0" w:firstLine="643" w:firstLineChars="200"/>
        <w:jc w:val="both"/>
        <w:textAlignment w:val="auto"/>
        <w:outlineLvl w:val="1"/>
        <w:rPr>
          <w:rFonts w:hint="eastAsia" w:ascii="楷体_GB2312" w:hAnsi="楷体_GB2312" w:eastAsia="楷体_GB2312" w:cs="楷体_GB2312"/>
          <w:b/>
          <w:bCs/>
          <w:sz w:val="32"/>
          <w:szCs w:val="32"/>
          <w:lang w:val="en-US" w:eastAsia="zh-CN"/>
        </w:rPr>
      </w:pPr>
      <w:bookmarkStart w:id="31" w:name="_Toc7179"/>
      <w:r>
        <w:rPr>
          <w:rFonts w:hint="eastAsia" w:ascii="楷体_GB2312" w:hAnsi="楷体_GB2312" w:eastAsia="楷体_GB2312" w:cs="楷体_GB2312"/>
          <w:b/>
          <w:bCs/>
          <w:sz w:val="32"/>
          <w:szCs w:val="32"/>
          <w:lang w:val="en-US" w:eastAsia="zh-CN"/>
        </w:rPr>
        <w:t>（三）事故发生单位安全管理情况</w:t>
      </w:r>
      <w:bookmarkEnd w:id="31"/>
    </w:p>
    <w:p w14:paraId="5E783ED3">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宋体" w:hAnsi="宋体" w:eastAsia="宋体" w:cs="宋体"/>
          <w:color w:val="000000" w:themeColor="text1"/>
          <w:sz w:val="32"/>
          <w:szCs w:val="32"/>
          <w:lang w:val="en-US" w:eastAsia="zh-CN"/>
          <w14:textFill>
            <w14:solidFill>
              <w14:schemeClr w14:val="tx1"/>
            </w14:solidFill>
          </w14:textFill>
        </w:rPr>
        <w:t>1</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.坤建劳务公司建立了全员安全生产责任制、隐患排查治理、安全生产教育和培训等安全生产规章制度以及公司岗位操作规程，但对从业人员安全教育和管理不到位，施工现场多次出现违规违章作业行为。</w:t>
      </w:r>
    </w:p>
    <w:p w14:paraId="04B4E582">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宋体" w:hAnsi="宋体" w:eastAsia="宋体" w:cs="宋体"/>
          <w:color w:val="000000" w:themeColor="text1"/>
          <w:sz w:val="32"/>
          <w:szCs w:val="32"/>
          <w:lang w:val="en-US" w:eastAsia="zh-CN"/>
          <w14:textFill>
            <w14:solidFill>
              <w14:schemeClr w14:val="tx1"/>
            </w14:solidFill>
          </w14:textFill>
        </w:rPr>
        <w:t>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kern w:val="2"/>
          <w:sz w:val="32"/>
          <w:szCs w:val="32"/>
          <w:u w:val="none"/>
          <w:lang w:val="en-US" w:eastAsia="zh-CN" w:bidi="ar-SA"/>
          <w14:textFill>
            <w14:solidFill>
              <w14:schemeClr w14:val="tx1"/>
            </w14:solidFill>
          </w14:textFill>
        </w:rPr>
        <w:t>天晟达劳务公司建立了安全生产责任体系、安全教育与培训、安全检查与隐患排查治理等安全生产管理制度以及《塔吊司机与指挥岗位安全操作规程》，</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但对塔吊操作人员安全教育和管理不到位，吊装作业现场多次出现违章作业行为。</w:t>
      </w:r>
    </w:p>
    <w:p w14:paraId="61647F1A">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宋体" w:hAnsi="宋体" w:eastAsia="宋体" w:cs="宋体"/>
          <w:color w:val="000000" w:themeColor="text1"/>
          <w:sz w:val="32"/>
          <w:szCs w:val="32"/>
          <w:lang w:val="en-US" w:eastAsia="zh-CN"/>
          <w14:textFill>
            <w14:solidFill>
              <w14:schemeClr w14:val="tx1"/>
            </w14:solidFill>
          </w14:textFill>
        </w:rPr>
        <w:t>3</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.庞源机械公司成立了公司安全生产委员会，建立了《安全生产责任制》《安全生产规章制度汇编》《安全生产操作规程》等</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制度规范</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，相关劳务分包人员人员均持有</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特种设备操作资格证，</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但对吊装作业安全统一协调管理不到位，作业现场多次出现违章作业行为。</w:t>
      </w:r>
    </w:p>
    <w:p w14:paraId="2F4F3948">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宋体" w:hAnsi="宋体" w:eastAsia="宋体" w:cs="宋体"/>
          <w:color w:val="000000" w:themeColor="text1"/>
          <w:sz w:val="32"/>
          <w:szCs w:val="32"/>
          <w:lang w:val="en-US" w:eastAsia="zh-CN"/>
          <w14:textFill>
            <w14:solidFill>
              <w14:schemeClr w14:val="tx1"/>
            </w14:solidFill>
          </w14:textFill>
        </w:rPr>
        <w:t>4</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欣易彩建筑公司在项目上配备了三名安全员，建立了安全生产责任制、安全生产教育培训、安全隐患排查治理等各项安全生产制度，</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但对叠合板吊装安装作业安全统一协调管理不到位，施工现场多次出现违规违章作业行为。</w:t>
      </w:r>
    </w:p>
    <w:p w14:paraId="4B1B8A84">
      <w:pPr>
        <w:pStyle w:val="10"/>
        <w:keepNext w:val="0"/>
        <w:keepLines w:val="0"/>
        <w:pageBreakBefore w:val="0"/>
        <w:widowControl w:val="0"/>
        <w:kinsoku/>
        <w:wordWrap/>
        <w:overflowPunct/>
        <w:autoSpaceDE/>
        <w:autoSpaceDN/>
        <w:bidi w:val="0"/>
        <w:spacing w:line="560" w:lineRule="exact"/>
        <w:ind w:left="0" w:leftChars="0" w:firstLine="643" w:firstLineChars="200"/>
        <w:jc w:val="both"/>
        <w:textAlignment w:val="auto"/>
        <w:outlineLvl w:val="1"/>
        <w:rPr>
          <w:rFonts w:hint="eastAsia" w:ascii="楷体_GB2312" w:hAnsi="楷体_GB2312" w:eastAsia="楷体_GB2312" w:cs="楷体_GB2312"/>
          <w:b/>
          <w:bCs/>
          <w:sz w:val="32"/>
          <w:szCs w:val="32"/>
          <w:lang w:val="en-US" w:eastAsia="zh-CN"/>
        </w:rPr>
      </w:pPr>
      <w:bookmarkStart w:id="32" w:name="_Toc27377"/>
      <w:r>
        <w:rPr>
          <w:rFonts w:hint="eastAsia" w:ascii="楷体_GB2312" w:hAnsi="楷体_GB2312" w:eastAsia="楷体_GB2312" w:cs="楷体_GB2312"/>
          <w:b/>
          <w:bCs/>
          <w:sz w:val="32"/>
          <w:szCs w:val="32"/>
          <w:lang w:val="en-US" w:eastAsia="zh-CN"/>
        </w:rPr>
        <w:t>（四）事故发生经过</w:t>
      </w:r>
      <w:bookmarkEnd w:id="32"/>
    </w:p>
    <w:p w14:paraId="01F1B240">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2026</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月</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21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日</w:t>
      </w:r>
      <w:r>
        <w:rPr>
          <w:rFonts w:hint="eastAsia" w:ascii="宋体" w:hAnsi="宋体" w:eastAsia="宋体" w:cs="宋体"/>
          <w:color w:val="000000" w:themeColor="text1"/>
          <w:sz w:val="32"/>
          <w:szCs w:val="32"/>
          <w:lang w:val="en-US" w:eastAsia="zh-CN"/>
          <w14:textFill>
            <w14:solidFill>
              <w14:schemeClr w14:val="tx1"/>
            </w14:solidFill>
          </w14:textFill>
        </w:rPr>
        <w:t>13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时许，叠合板装配人员谢某涛及</w:t>
      </w:r>
      <w:r>
        <w:rPr>
          <w:rFonts w:hint="eastAsia" w:ascii="宋体" w:hAnsi="宋体" w:eastAsia="宋体" w:cs="宋体"/>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名工友按照前期工作计划到项目</w:t>
      </w:r>
      <w:r>
        <w:rPr>
          <w:rFonts w:hint="eastAsia" w:ascii="宋体" w:hAnsi="宋体" w:eastAsia="宋体" w:cs="宋体"/>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号楼进行第</w:t>
      </w:r>
      <w:r>
        <w:rPr>
          <w:rFonts w:hint="eastAsia" w:ascii="宋体" w:hAnsi="宋体" w:eastAsia="宋体" w:cs="宋体"/>
          <w:color w:val="000000" w:themeColor="text1"/>
          <w:sz w:val="32"/>
          <w:szCs w:val="32"/>
          <w:lang w:val="en-US" w:eastAsia="zh-CN"/>
          <w14:textFill>
            <w14:solidFill>
              <w14:schemeClr w14:val="tx1"/>
            </w14:solidFill>
          </w14:textFill>
        </w:rPr>
        <w:t>22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层的叠合板装配作业。</w:t>
      </w:r>
      <w:r>
        <w:rPr>
          <w:rFonts w:hint="eastAsia" w:ascii="宋体" w:hAnsi="宋体" w:eastAsia="宋体" w:cs="宋体"/>
          <w:color w:val="000000" w:themeColor="text1"/>
          <w:sz w:val="32"/>
          <w:szCs w:val="32"/>
          <w:lang w:val="en-US" w:eastAsia="zh-CN"/>
          <w14:textFill>
            <w14:solidFill>
              <w14:schemeClr w14:val="tx1"/>
            </w14:solidFill>
          </w14:textFill>
        </w:rPr>
        <w:t>13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时</w:t>
      </w:r>
      <w:r>
        <w:rPr>
          <w:rFonts w:hint="eastAsia" w:ascii="宋体" w:hAnsi="宋体" w:eastAsia="宋体" w:cs="宋体"/>
          <w:color w:val="000000" w:themeColor="text1"/>
          <w:sz w:val="32"/>
          <w:szCs w:val="32"/>
          <w:lang w:val="en-US" w:eastAsia="zh-CN"/>
          <w14:textFill>
            <w14:solidFill>
              <w14:schemeClr w14:val="tx1"/>
            </w14:solidFill>
          </w14:textFill>
        </w:rPr>
        <w:t>30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分许，第一车叠合板抵达工地后进行吊装作业（</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塔吊司机为何某平，信号指挥工为宋某喜</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），谢某涛下楼负责在货车轿厢上挂钩叠合板，其他工友负责在</w:t>
      </w:r>
      <w:r>
        <w:rPr>
          <w:rFonts w:hint="eastAsia" w:ascii="宋体" w:hAnsi="宋体" w:eastAsia="宋体" w:cs="宋体"/>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号楼楼顶装配叠合板。</w:t>
      </w:r>
    </w:p>
    <w:p w14:paraId="6CBB169F">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宋体" w:hAnsi="宋体" w:eastAsia="宋体" w:cs="宋体"/>
          <w:color w:val="000000" w:themeColor="text1"/>
          <w:sz w:val="32"/>
          <w:szCs w:val="32"/>
          <w:lang w:val="en-US" w:eastAsia="zh-CN"/>
          <w14:textFill>
            <w14:solidFill>
              <w14:schemeClr w14:val="tx1"/>
            </w14:solidFill>
          </w14:textFill>
        </w:rPr>
        <w:t>17</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时</w:t>
      </w:r>
      <w:r>
        <w:rPr>
          <w:rFonts w:hint="eastAsia" w:ascii="宋体" w:hAnsi="宋体" w:eastAsia="宋体" w:cs="宋体"/>
          <w:color w:val="000000" w:themeColor="text1"/>
          <w:sz w:val="32"/>
          <w:szCs w:val="32"/>
          <w:lang w:val="en-US" w:eastAsia="zh-CN"/>
          <w14:textFill>
            <w14:solidFill>
              <w14:schemeClr w14:val="tx1"/>
            </w14:solidFill>
          </w14:textFill>
        </w:rPr>
        <w:t>32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分，</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宋某喜将对讲机交给</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谢某涛后离开现场，后续叠合板吊装指挥由谢某涛负责。</w:t>
      </w:r>
      <w:r>
        <w:rPr>
          <w:rFonts w:hint="eastAsia" w:ascii="宋体" w:hAnsi="宋体" w:eastAsia="宋体" w:cs="宋体"/>
          <w:color w:val="000000" w:themeColor="text1"/>
          <w:sz w:val="32"/>
          <w:szCs w:val="32"/>
          <w:lang w:val="en-US" w:eastAsia="zh-CN"/>
          <w14:textFill>
            <w14:solidFill>
              <w14:schemeClr w14:val="tx1"/>
            </w14:solidFill>
          </w14:textFill>
        </w:rPr>
        <w:t>17</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时</w:t>
      </w:r>
      <w:r>
        <w:rPr>
          <w:rFonts w:hint="eastAsia" w:ascii="宋体" w:hAnsi="宋体" w:eastAsia="宋体" w:cs="宋体"/>
          <w:color w:val="000000" w:themeColor="text1"/>
          <w:sz w:val="32"/>
          <w:szCs w:val="32"/>
          <w:lang w:val="en-US" w:eastAsia="zh-CN"/>
          <w14:textFill>
            <w14:solidFill>
              <w14:schemeClr w14:val="tx1"/>
            </w14:solidFill>
          </w14:textFill>
        </w:rPr>
        <w:t>37</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分，谢某涛在指挥完第一车最后一块叠合板吊装后离开现场。</w:t>
      </w:r>
      <w:r>
        <w:rPr>
          <w:rFonts w:hint="eastAsia" w:ascii="宋体" w:hAnsi="宋体" w:eastAsia="宋体" w:cs="宋体"/>
          <w:color w:val="000000" w:themeColor="text1"/>
          <w:sz w:val="32"/>
          <w:szCs w:val="32"/>
          <w:lang w:val="en-US" w:eastAsia="zh-CN"/>
          <w14:textFill>
            <w14:solidFill>
              <w14:schemeClr w14:val="tx1"/>
            </w14:solidFill>
          </w14:textFill>
        </w:rPr>
        <w:t>17</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时</w:t>
      </w:r>
      <w:r>
        <w:rPr>
          <w:rFonts w:hint="eastAsia" w:ascii="宋体" w:hAnsi="宋体" w:eastAsia="宋体" w:cs="宋体"/>
          <w:color w:val="000000" w:themeColor="text1"/>
          <w:sz w:val="32"/>
          <w:szCs w:val="32"/>
          <w:lang w:val="en-US" w:eastAsia="zh-CN"/>
          <w14:textFill>
            <w14:solidFill>
              <w14:schemeClr w14:val="tx1"/>
            </w14:solidFill>
          </w14:textFill>
        </w:rPr>
        <w:t>43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分，第二车叠合板抵达工地。</w:t>
      </w:r>
      <w:r>
        <w:rPr>
          <w:rFonts w:hint="eastAsia" w:ascii="宋体" w:hAnsi="宋体" w:eastAsia="宋体" w:cs="宋体"/>
          <w:color w:val="000000" w:themeColor="text1"/>
          <w:sz w:val="32"/>
          <w:szCs w:val="32"/>
          <w:lang w:val="en-US" w:eastAsia="zh-CN"/>
          <w14:textFill>
            <w14:solidFill>
              <w14:schemeClr w14:val="tx1"/>
            </w14:solidFill>
          </w14:textFill>
        </w:rPr>
        <w:t>17</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时</w:t>
      </w:r>
      <w:r>
        <w:rPr>
          <w:rFonts w:hint="eastAsia" w:ascii="宋体" w:hAnsi="宋体" w:eastAsia="宋体" w:cs="宋体"/>
          <w:color w:val="000000" w:themeColor="text1"/>
          <w:sz w:val="32"/>
          <w:szCs w:val="32"/>
          <w:lang w:val="en-US" w:eastAsia="zh-CN"/>
          <w14:textFill>
            <w14:solidFill>
              <w14:schemeClr w14:val="tx1"/>
            </w14:solidFill>
          </w14:textFill>
        </w:rPr>
        <w:t>47</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分，谢某涛返回现场进行第二车叠合板挂钩并指挥吊装。</w:t>
      </w:r>
    </w:p>
    <w:p w14:paraId="66917922">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宋体" w:hAnsi="宋体" w:eastAsia="宋体" w:cs="宋体"/>
          <w:color w:val="000000" w:themeColor="text1"/>
          <w:sz w:val="32"/>
          <w:szCs w:val="32"/>
          <w:lang w:val="en-US" w:eastAsia="zh-CN"/>
          <w14:textFill>
            <w14:solidFill>
              <w14:schemeClr w14:val="tx1"/>
            </w14:solidFill>
          </w14:textFill>
        </w:rPr>
        <w:t>18</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时</w:t>
      </w:r>
      <w:r>
        <w:rPr>
          <w:rFonts w:hint="eastAsia" w:ascii="宋体" w:hAnsi="宋体" w:eastAsia="宋体" w:cs="宋体"/>
          <w:color w:val="000000" w:themeColor="text1"/>
          <w:sz w:val="32"/>
          <w:szCs w:val="32"/>
          <w:lang w:val="en-US" w:eastAsia="zh-CN"/>
          <w14:textFill>
            <w14:solidFill>
              <w14:schemeClr w14:val="tx1"/>
            </w14:solidFill>
          </w14:textFill>
        </w:rPr>
        <w:t>08</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分，谢某涛将吊钩挂在第四块叠合板四个角后，站在货车轿厢尾部并通过对讲机发出吊装信号。塔吊上升过程中，谢某涛衣服被上升的叠合板挂住，后其被带至</w:t>
      </w:r>
      <w:r>
        <w:rPr>
          <w:rFonts w:hint="eastAsia" w:ascii="宋体" w:hAnsi="宋体" w:eastAsia="宋体" w:cs="宋体"/>
          <w:color w:val="000000" w:themeColor="text1"/>
          <w:sz w:val="32"/>
          <w:szCs w:val="32"/>
          <w:lang w:val="en-US" w:eastAsia="zh-CN"/>
          <w14:textFill>
            <w14:solidFill>
              <w14:schemeClr w14:val="tx1"/>
            </w14:solidFill>
          </w14:textFill>
        </w:rPr>
        <w:t>30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多米高空，坠落至地面沙堆上受伤。</w:t>
      </w:r>
    </w:p>
    <w:p w14:paraId="172515BC">
      <w:pPr>
        <w:pStyle w:val="10"/>
        <w:keepNext w:val="0"/>
        <w:keepLines w:val="0"/>
        <w:pageBreakBefore w:val="0"/>
        <w:widowControl w:val="0"/>
        <w:kinsoku/>
        <w:wordWrap/>
        <w:overflowPunct/>
        <w:autoSpaceDE/>
        <w:autoSpaceDN/>
        <w:bidi w:val="0"/>
        <w:spacing w:line="560" w:lineRule="exact"/>
        <w:ind w:left="0" w:leftChars="0" w:firstLine="643" w:firstLineChars="200"/>
        <w:jc w:val="both"/>
        <w:textAlignment w:val="auto"/>
        <w:outlineLvl w:val="1"/>
        <w:rPr>
          <w:rFonts w:hint="eastAsia" w:ascii="楷体_GB2312" w:hAnsi="楷体_GB2312" w:eastAsia="楷体_GB2312" w:cs="楷体_GB2312"/>
          <w:b/>
          <w:bCs/>
          <w:sz w:val="32"/>
          <w:szCs w:val="32"/>
          <w:lang w:val="en-US" w:eastAsia="zh-CN"/>
        </w:rPr>
      </w:pPr>
      <w:bookmarkStart w:id="33" w:name="_Toc4059"/>
      <w:r>
        <w:rPr>
          <w:rFonts w:hint="eastAsia" w:ascii="楷体_GB2312" w:hAnsi="楷体_GB2312" w:eastAsia="楷体_GB2312" w:cs="楷体_GB2312"/>
          <w:b/>
          <w:bCs/>
          <w:sz w:val="32"/>
          <w:szCs w:val="32"/>
          <w:lang w:val="en-US" w:eastAsia="zh-CN"/>
        </w:rPr>
        <w:t>（五）事故现场情况</w:t>
      </w:r>
      <w:bookmarkEnd w:id="33"/>
    </w:p>
    <w:p w14:paraId="530FE70A">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经现场勘察，本次事故地点位于项目</w:t>
      </w:r>
      <w:r>
        <w:rPr>
          <w:rFonts w:hint="eastAsia" w:ascii="宋体" w:hAnsi="宋体" w:eastAsia="宋体" w:cs="宋体"/>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#塔吊处（图</w:t>
      </w:r>
      <w:r>
        <w:rPr>
          <w:rFonts w:hint="eastAsia" w:ascii="宋体" w:hAnsi="宋体" w:eastAsia="宋体" w:cs="宋体"/>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事故发生位置平面图；图</w:t>
      </w:r>
      <w:r>
        <w:rPr>
          <w:rFonts w:hint="eastAsia" w:ascii="宋体" w:hAnsi="宋体" w:eastAsia="宋体" w:cs="宋体"/>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，塔吊正面图），谢某涛被叠合板（图</w:t>
      </w:r>
      <w:r>
        <w:rPr>
          <w:rFonts w:hint="eastAsia" w:ascii="宋体" w:hAnsi="宋体" w:eastAsia="宋体" w:cs="宋体"/>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，四周分布着钢筋）侧面钢筋勾住随着塔吊上升至高处坠落到塔吊东南方向处的土堆（图</w:t>
      </w:r>
      <w:r>
        <w:rPr>
          <w:rFonts w:hint="eastAsia" w:ascii="宋体" w:hAnsi="宋体" w:eastAsia="宋体" w:cs="宋体"/>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，可见血迹、安全帽及鞋子）受伤。</w:t>
      </w:r>
    </w:p>
    <w:p w14:paraId="128ACE3B">
      <w:pPr>
        <w:keepNext w:val="0"/>
        <w:keepLines w:val="0"/>
        <w:pageBreakBefore w:val="0"/>
        <w:widowControl w:val="0"/>
        <w:kinsoku/>
        <w:wordWrap/>
        <w:overflowPunct/>
        <w:autoSpaceDE/>
        <w:autoSpaceDN/>
        <w:bidi w:val="0"/>
        <w:spacing w:line="560" w:lineRule="exact"/>
        <w:jc w:val="center"/>
        <w:textAlignment w:val="auto"/>
        <w:rPr>
          <w:rFonts w:hint="default"/>
          <w:lang w:val="en-US" w:eastAsia="zh-CN"/>
        </w:rPr>
      </w:pPr>
      <w:r>
        <w:drawing>
          <wp:anchor distT="0" distB="0" distL="114300" distR="114300" simplePos="0" relativeHeight="251663360" behindDoc="0" locked="0" layoutInCell="1" allowOverlap="1">
            <wp:simplePos x="0" y="0"/>
            <wp:positionH relativeFrom="column">
              <wp:posOffset>-148590</wp:posOffset>
            </wp:positionH>
            <wp:positionV relativeFrom="paragraph">
              <wp:posOffset>121285</wp:posOffset>
            </wp:positionV>
            <wp:extent cx="5939790" cy="3104515"/>
            <wp:effectExtent l="0" t="0" r="3810" b="635"/>
            <wp:wrapTopAndBottom/>
            <wp:docPr id="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pic:cNvPicPr>
                      <a:picLocks noChangeAspect="1"/>
                    </pic:cNvPicPr>
                  </pic:nvPicPr>
                  <pic:blipFill>
                    <a:blip r:embed="rId9"/>
                    <a:stretch>
                      <a:fillRect/>
                    </a:stretch>
                  </pic:blipFill>
                  <pic:spPr>
                    <a:xfrm>
                      <a:off x="0" y="0"/>
                      <a:ext cx="5939790" cy="3104515"/>
                    </a:xfrm>
                    <a:prstGeom prst="rect">
                      <a:avLst/>
                    </a:prstGeom>
                    <a:noFill/>
                    <a:ln>
                      <a:noFill/>
                    </a:ln>
                  </pic:spPr>
                </pic:pic>
              </a:graphicData>
            </a:graphic>
          </wp:anchor>
        </w:drawing>
      </w:r>
      <w:r>
        <w:rPr>
          <w:rFonts w:hint="eastAsia" w:ascii="宋体" w:hAnsi="宋体" w:eastAsia="宋体" w:cs="宋体"/>
          <w:color w:val="000000" w:themeColor="text1"/>
          <w:kern w:val="2"/>
          <w:sz w:val="32"/>
          <w:szCs w:val="32"/>
          <w:u w:val="none" w:color="auto"/>
          <w:lang w:val="en-US" w:eastAsia="zh-CN" w:bidi="ar-SA"/>
          <w14:textFill>
            <w14:solidFill>
              <w14:schemeClr w14:val="tx1"/>
            </w14:solidFill>
          </w14:textFill>
        </w:rPr>
        <w:t>（</w:t>
      </w: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图</w:t>
      </w:r>
      <w:r>
        <w:rPr>
          <w:rFonts w:hint="eastAsia" w:ascii="宋体" w:hAnsi="宋体" w:eastAsia="宋体" w:cs="宋体"/>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事故发生位置平面图</w:t>
      </w:r>
      <w:r>
        <w:rPr>
          <w:rFonts w:hint="eastAsia" w:ascii="宋体" w:hAnsi="宋体" w:eastAsia="宋体" w:cs="宋体"/>
          <w:color w:val="000000" w:themeColor="text1"/>
          <w:kern w:val="2"/>
          <w:sz w:val="32"/>
          <w:szCs w:val="32"/>
          <w:u w:val="none" w:color="auto"/>
          <w:lang w:val="en-US" w:eastAsia="zh-CN" w:bidi="ar-SA"/>
          <w14:textFill>
            <w14:solidFill>
              <w14:schemeClr w14:val="tx1"/>
            </w14:solidFill>
          </w14:textFill>
        </w:rPr>
        <w:t>）</w:t>
      </w:r>
    </w:p>
    <w:p w14:paraId="56EFABFD">
      <w:pPr>
        <w:pStyle w:val="11"/>
        <w:ind w:left="0" w:leftChars="0" w:firstLine="0" w:firstLineChars="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06DDF478">
      <w:pPr>
        <w:keepNext w:val="0"/>
        <w:keepLines w:val="0"/>
        <w:pageBreakBefore w:val="0"/>
        <w:widowControl w:val="0"/>
        <w:kinsoku/>
        <w:wordWrap/>
        <w:overflowPunct/>
        <w:autoSpaceDE/>
        <w:autoSpaceDN/>
        <w:bidi w:val="0"/>
        <w:spacing w:line="560" w:lineRule="exact"/>
        <w:jc w:val="center"/>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eastAsiaTheme="minorEastAsia"/>
          <w:lang w:eastAsia="zh-CN"/>
        </w:rPr>
        <w:drawing>
          <wp:anchor distT="0" distB="0" distL="114300" distR="114300" simplePos="0" relativeHeight="251661312" behindDoc="0" locked="0" layoutInCell="1" allowOverlap="1">
            <wp:simplePos x="0" y="0"/>
            <wp:positionH relativeFrom="column">
              <wp:posOffset>-248920</wp:posOffset>
            </wp:positionH>
            <wp:positionV relativeFrom="paragraph">
              <wp:posOffset>4770755</wp:posOffset>
            </wp:positionV>
            <wp:extent cx="2879725" cy="2879725"/>
            <wp:effectExtent l="0" t="0" r="15875" b="15875"/>
            <wp:wrapTopAndBottom/>
            <wp:docPr id="4" name="图片 4" descr="257f2a25fe9294fd6d046627a9967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57f2a25fe9294fd6d046627a9967043"/>
                    <pic:cNvPicPr>
                      <a:picLocks noChangeAspect="1"/>
                    </pic:cNvPicPr>
                  </pic:nvPicPr>
                  <pic:blipFill>
                    <a:blip r:embed="rId10"/>
                    <a:srcRect l="-217" t="16135" r="217" b="27613"/>
                    <a:stretch>
                      <a:fillRect/>
                    </a:stretch>
                  </pic:blipFill>
                  <pic:spPr>
                    <a:xfrm>
                      <a:off x="0" y="0"/>
                      <a:ext cx="2879725" cy="2879725"/>
                    </a:xfrm>
                    <a:prstGeom prst="rect">
                      <a:avLst/>
                    </a:prstGeom>
                  </pic:spPr>
                </pic:pic>
              </a:graphicData>
            </a:graphic>
          </wp:anchor>
        </w:drawing>
      </w:r>
      <w:r>
        <w:rPr>
          <w:rFonts w:hint="eastAsia" w:eastAsiaTheme="minorEastAsia"/>
          <w:lang w:eastAsia="zh-CN"/>
        </w:rPr>
        <w:drawing>
          <wp:anchor distT="0" distB="0" distL="114300" distR="114300" simplePos="0" relativeHeight="251662336" behindDoc="0" locked="0" layoutInCell="1" allowOverlap="1">
            <wp:simplePos x="0" y="0"/>
            <wp:positionH relativeFrom="column">
              <wp:posOffset>1259840</wp:posOffset>
            </wp:positionH>
            <wp:positionV relativeFrom="paragraph">
              <wp:posOffset>-25400</wp:posOffset>
            </wp:positionV>
            <wp:extent cx="3296920" cy="4396105"/>
            <wp:effectExtent l="0" t="0" r="17780" b="4445"/>
            <wp:wrapTopAndBottom/>
            <wp:docPr id="5" name="图片 5" descr="14385cc8e072c9a79fcc9bb87eae88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4385cc8e072c9a79fcc9bb87eae88b8"/>
                    <pic:cNvPicPr>
                      <a:picLocks noChangeAspect="1"/>
                    </pic:cNvPicPr>
                  </pic:nvPicPr>
                  <pic:blipFill>
                    <a:blip r:embed="rId11"/>
                    <a:stretch>
                      <a:fillRect/>
                    </a:stretch>
                  </pic:blipFill>
                  <pic:spPr>
                    <a:xfrm>
                      <a:off x="0" y="0"/>
                      <a:ext cx="3296920" cy="4396105"/>
                    </a:xfrm>
                    <a:prstGeom prst="rect">
                      <a:avLst/>
                    </a:prstGeom>
                  </pic:spPr>
                </pic:pic>
              </a:graphicData>
            </a:graphic>
          </wp:anchor>
        </w:drawing>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（图</w:t>
      </w:r>
      <w:r>
        <w:rPr>
          <w:rFonts w:hint="eastAsia" w:ascii="宋体" w:hAnsi="宋体" w:eastAsia="宋体" w:cs="宋体"/>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宋体" w:hAnsi="宋体" w:eastAsia="宋体" w:cs="宋体"/>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#塔吊正面图）</w:t>
      </w:r>
    </w:p>
    <w:p w14:paraId="3BF49A95">
      <w:pPr>
        <w:keepNext w:val="0"/>
        <w:keepLines w:val="0"/>
        <w:pageBreakBefore w:val="0"/>
        <w:widowControl w:val="0"/>
        <w:kinsoku/>
        <w:wordWrap/>
        <w:overflowPunct/>
        <w:autoSpaceDE/>
        <w:autoSpaceDN/>
        <w:bidi w:val="0"/>
        <w:spacing w:line="560" w:lineRule="exact"/>
        <w:ind w:firstLine="840" w:firstLineChars="4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eastAsiaTheme="minorEastAsia"/>
          <w:lang w:eastAsia="zh-CN"/>
        </w:rPr>
        <w:drawing>
          <wp:anchor distT="0" distB="0" distL="114300" distR="114300" simplePos="0" relativeHeight="251659264" behindDoc="0" locked="0" layoutInCell="1" allowOverlap="1">
            <wp:simplePos x="0" y="0"/>
            <wp:positionH relativeFrom="column">
              <wp:posOffset>3037205</wp:posOffset>
            </wp:positionH>
            <wp:positionV relativeFrom="paragraph">
              <wp:posOffset>37465</wp:posOffset>
            </wp:positionV>
            <wp:extent cx="2999105" cy="2879725"/>
            <wp:effectExtent l="0" t="0" r="10795" b="15875"/>
            <wp:wrapTopAndBottom/>
            <wp:docPr id="1" name="图片 1" descr="df56ccd7ab70126b4b6c3f5577758c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f56ccd7ab70126b4b6c3f5577758ccb"/>
                    <pic:cNvPicPr>
                      <a:picLocks noChangeAspect="1"/>
                    </pic:cNvPicPr>
                  </pic:nvPicPr>
                  <pic:blipFill>
                    <a:blip r:embed="rId12"/>
                    <a:srcRect l="4618" t="1506" r="2001" b="31255"/>
                    <a:stretch>
                      <a:fillRect/>
                    </a:stretch>
                  </pic:blipFill>
                  <pic:spPr>
                    <a:xfrm>
                      <a:off x="0" y="0"/>
                      <a:ext cx="2999105" cy="2879725"/>
                    </a:xfrm>
                    <a:prstGeom prst="rect">
                      <a:avLst/>
                    </a:prstGeom>
                  </pic:spPr>
                </pic:pic>
              </a:graphicData>
            </a:graphic>
          </wp:anchor>
        </w:drawing>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（图</w:t>
      </w:r>
      <w:r>
        <w:rPr>
          <w:rFonts w:hint="eastAsia" w:ascii="宋体" w:hAnsi="宋体" w:eastAsia="宋体" w:cs="宋体"/>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，叠合板）              （图</w:t>
      </w:r>
      <w:r>
        <w:rPr>
          <w:rFonts w:hint="eastAsia" w:ascii="宋体" w:hAnsi="宋体" w:eastAsia="宋体" w:cs="宋体"/>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，谢某涛落地位置）</w:t>
      </w:r>
    </w:p>
    <w:p w14:paraId="3E953C01">
      <w:pPr>
        <w:pStyle w:val="10"/>
        <w:keepNext w:val="0"/>
        <w:keepLines w:val="0"/>
        <w:pageBreakBefore w:val="0"/>
        <w:widowControl w:val="0"/>
        <w:kinsoku/>
        <w:wordWrap/>
        <w:overflowPunct/>
        <w:autoSpaceDE/>
        <w:autoSpaceDN/>
        <w:bidi w:val="0"/>
        <w:spacing w:line="560" w:lineRule="exact"/>
        <w:ind w:left="0" w:leftChars="0" w:firstLine="643" w:firstLineChars="200"/>
        <w:jc w:val="both"/>
        <w:textAlignment w:val="auto"/>
        <w:outlineLvl w:val="1"/>
        <w:rPr>
          <w:rFonts w:hint="eastAsia" w:ascii="楷体_GB2312" w:hAnsi="楷体_GB2312" w:eastAsia="楷体_GB2312" w:cs="楷体_GB2312"/>
          <w:b/>
          <w:bCs/>
          <w:sz w:val="32"/>
          <w:szCs w:val="32"/>
          <w:lang w:val="en-US" w:eastAsia="zh-CN"/>
        </w:rPr>
      </w:pPr>
      <w:bookmarkStart w:id="34" w:name="_Toc6906"/>
      <w:r>
        <w:rPr>
          <w:rFonts w:hint="eastAsia" w:ascii="楷体_GB2312" w:hAnsi="楷体_GB2312" w:eastAsia="楷体_GB2312" w:cs="楷体_GB2312"/>
          <w:b/>
          <w:bCs/>
          <w:sz w:val="32"/>
          <w:szCs w:val="32"/>
          <w:lang w:val="en-US" w:eastAsia="zh-CN"/>
        </w:rPr>
        <w:t>（六）人员伤亡和直接经济损失情况</w:t>
      </w:r>
      <w:bookmarkEnd w:id="34"/>
    </w:p>
    <w:p w14:paraId="4427B194">
      <w:pPr>
        <w:keepNext w:val="0"/>
        <w:keepLines w:val="0"/>
        <w:pageBreakBefore w:val="0"/>
        <w:widowControl w:val="0"/>
        <w:kinsoku/>
        <w:wordWrap/>
        <w:overflowPunct/>
        <w:autoSpaceDE/>
        <w:autoSpaceDN/>
        <w:bidi w:val="0"/>
        <w:spacing w:line="560" w:lineRule="exact"/>
        <w:ind w:firstLine="643"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宋体" w:hAnsi="宋体" w:eastAsia="宋体" w:cs="宋体"/>
          <w:b/>
          <w:bCs/>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.人员伤亡情况。</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事故造成</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人死亡：谢某涛，为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坤建劳务公司</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员工，岗位为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PC</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吊装及楼梯防护。</w:t>
      </w:r>
    </w:p>
    <w:p w14:paraId="06DBDFAE">
      <w:pPr>
        <w:keepNext w:val="0"/>
        <w:keepLines w:val="0"/>
        <w:pageBreakBefore w:val="0"/>
        <w:widowControl w:val="0"/>
        <w:kinsoku/>
        <w:wordWrap/>
        <w:overflowPunct/>
        <w:autoSpaceDE/>
        <w:autoSpaceDN/>
        <w:bidi w:val="0"/>
        <w:spacing w:line="560" w:lineRule="exact"/>
        <w:ind w:firstLine="643"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宋体" w:hAnsi="宋体" w:eastAsia="宋体" w:cs="宋体"/>
          <w:b/>
          <w:bCs/>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.事故损失情况。</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事故造成直接经济损失为</w:t>
      </w:r>
      <w:r>
        <w:rPr>
          <w:rFonts w:hint="eastAsia" w:ascii="宋体" w:hAnsi="宋体" w:eastAsia="宋体" w:cs="宋体"/>
          <w:color w:val="000000" w:themeColor="text1"/>
          <w:sz w:val="32"/>
          <w:szCs w:val="32"/>
          <w:lang w:val="en-US" w:eastAsia="zh-CN"/>
          <w14:textFill>
            <w14:solidFill>
              <w14:schemeClr w14:val="tx1"/>
            </w14:solidFill>
          </w14:textFill>
        </w:rPr>
        <w:t>147</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万元。</w:t>
      </w:r>
    </w:p>
    <w:p w14:paraId="7C9321C9">
      <w:pPr>
        <w:pStyle w:val="10"/>
        <w:keepNext w:val="0"/>
        <w:keepLines w:val="0"/>
        <w:pageBreakBefore w:val="0"/>
        <w:widowControl w:val="0"/>
        <w:kinsoku/>
        <w:wordWrap/>
        <w:overflowPunct/>
        <w:autoSpaceDE/>
        <w:autoSpaceDN/>
        <w:bidi w:val="0"/>
        <w:spacing w:line="560" w:lineRule="exact"/>
        <w:ind w:left="0" w:leftChars="0" w:firstLine="643" w:firstLineChars="200"/>
        <w:jc w:val="both"/>
        <w:textAlignment w:val="auto"/>
        <w:outlineLvl w:val="1"/>
        <w:rPr>
          <w:rFonts w:hint="eastAsia" w:ascii="楷体_GB2312" w:hAnsi="楷体_GB2312" w:eastAsia="楷体_GB2312" w:cs="楷体_GB2312"/>
          <w:b/>
          <w:bCs/>
          <w:sz w:val="32"/>
          <w:szCs w:val="32"/>
          <w:lang w:val="en-US" w:eastAsia="zh-CN"/>
        </w:rPr>
      </w:pPr>
      <w:bookmarkStart w:id="35" w:name="_Toc16378"/>
      <w:r>
        <w:rPr>
          <w:rFonts w:hint="eastAsia" w:ascii="楷体_GB2312" w:hAnsi="楷体_GB2312" w:eastAsia="楷体_GB2312" w:cs="楷体_GB2312"/>
          <w:b/>
          <w:bCs/>
          <w:sz w:val="32"/>
          <w:szCs w:val="32"/>
          <w:lang w:val="en-US" w:eastAsia="zh-CN"/>
        </w:rPr>
        <w:t>（七）其他情况</w:t>
      </w:r>
      <w:bookmarkEnd w:id="35"/>
    </w:p>
    <w:p w14:paraId="4E40D50B">
      <w:pPr>
        <w:pStyle w:val="17"/>
        <w:keepNext w:val="0"/>
        <w:keepLines w:val="0"/>
        <w:pageBreakBefore w:val="0"/>
        <w:widowControl w:val="0"/>
        <w:numPr>
          <w:ilvl w:val="0"/>
          <w:numId w:val="0"/>
        </w:numPr>
        <w:kinsoku/>
        <w:wordWrap/>
        <w:overflowPunct/>
        <w:autoSpaceDE/>
        <w:autoSpaceDN/>
        <w:bidi w:val="0"/>
        <w:spacing w:line="560" w:lineRule="exact"/>
        <w:ind w:firstLine="643" w:firstLineChars="200"/>
        <w:jc w:val="both"/>
        <w:textAlignment w:val="auto"/>
        <w:rPr>
          <w:rFonts w:hint="default" w:ascii="仿宋_GB2312" w:hAnsi="仿宋_GB2312" w:eastAsia="仿宋_GB2312" w:cs="仿宋_GB2312"/>
          <w:color w:val="000000" w:themeColor="text1"/>
          <w:kern w:val="2"/>
          <w:sz w:val="32"/>
          <w:szCs w:val="32"/>
          <w:u w:val="none"/>
          <w:lang w:val="en-US" w:eastAsia="zh-CN" w:bidi="ar-SA"/>
          <w14:textFill>
            <w14:solidFill>
              <w14:schemeClr w14:val="tx1"/>
            </w14:solidFill>
          </w14:textFill>
        </w:rPr>
      </w:pPr>
      <w:r>
        <w:rPr>
          <w:rFonts w:hint="eastAsia" w:ascii="宋体" w:hAnsi="宋体" w:eastAsia="宋体" w:cs="宋体"/>
          <w:b/>
          <w:bCs/>
          <w:color w:val="000000" w:themeColor="text1"/>
          <w:kern w:val="2"/>
          <w:sz w:val="32"/>
          <w:szCs w:val="32"/>
          <w:u w:val="none"/>
          <w:lang w:val="en-US" w:eastAsia="zh-CN" w:bidi="ar-SA"/>
          <w14:textFill>
            <w14:solidFill>
              <w14:schemeClr w14:val="tx1"/>
            </w14:solidFill>
          </w14:textFill>
        </w:rPr>
        <w:t>1</w:t>
      </w:r>
      <w:r>
        <w:rPr>
          <w:rFonts w:hint="eastAsia" w:ascii="仿宋_GB2312" w:hAnsi="仿宋_GB2312" w:eastAsia="仿宋_GB2312" w:cs="仿宋_GB2312"/>
          <w:b/>
          <w:bCs/>
          <w:color w:val="000000" w:themeColor="text1"/>
          <w:kern w:val="2"/>
          <w:sz w:val="32"/>
          <w:szCs w:val="32"/>
          <w:u w:val="none"/>
          <w:lang w:val="en-US" w:eastAsia="zh-CN" w:bidi="ar-SA"/>
          <w14:textFill>
            <w14:solidFill>
              <w14:schemeClr w14:val="tx1"/>
            </w14:solidFill>
          </w14:textFill>
        </w:rPr>
        <w:t>.相关人员资质情况。</w:t>
      </w:r>
      <w:r>
        <w:rPr>
          <w:rFonts w:hint="eastAsia" w:ascii="仿宋_GB2312" w:hAnsi="仿宋_GB2312" w:eastAsia="仿宋_GB2312" w:cs="仿宋_GB2312"/>
          <w:color w:val="000000" w:themeColor="text1"/>
          <w:kern w:val="2"/>
          <w:sz w:val="32"/>
          <w:szCs w:val="32"/>
          <w:u w:val="none"/>
          <w:lang w:val="en-US" w:eastAsia="zh-CN" w:bidi="ar-SA"/>
          <w14:textFill>
            <w14:solidFill>
              <w14:schemeClr w14:val="tx1"/>
            </w14:solidFill>
          </w14:textFill>
        </w:rPr>
        <w:t>何某平持有《建筑施工特种作业操作资格证》，编号为鄂</w:t>
      </w:r>
      <w:r>
        <w:rPr>
          <w:rFonts w:hint="eastAsia" w:ascii="Times New Roman" w:hAnsi="Times New Roman" w:eastAsia="仿宋_GB2312" w:cs="Times New Roman"/>
          <w:color w:val="000000" w:themeColor="text1"/>
          <w:kern w:val="2"/>
          <w:sz w:val="32"/>
          <w:szCs w:val="32"/>
          <w:u w:val="none"/>
          <w:lang w:val="en-US" w:eastAsia="zh-CN" w:bidi="ar-SA"/>
          <w14:textFill>
            <w14:solidFill>
              <w14:schemeClr w14:val="tx1"/>
            </w14:solidFill>
          </w14:textFill>
        </w:rPr>
        <w:t>B</w:t>
      </w: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052020000</w:t>
      </w:r>
      <w:r>
        <w:rPr>
          <w:rFonts w:hint="eastAsia" w:eastAsia="宋体" w:cs="宋体"/>
          <w:color w:val="000000" w:themeColor="text1"/>
          <w:kern w:val="2"/>
          <w:sz w:val="32"/>
          <w:szCs w:val="32"/>
          <w:u w:val="none"/>
          <w:lang w:val="en-US" w:eastAsia="zh-CN" w:bidi="ar-SA"/>
          <w14:textFill>
            <w14:solidFill>
              <w14:schemeClr w14:val="tx1"/>
            </w14:solidFill>
          </w14:textFill>
        </w:rPr>
        <w:t>***</w:t>
      </w:r>
      <w:r>
        <w:rPr>
          <w:rFonts w:hint="eastAsia" w:ascii="仿宋_GB2312" w:hAnsi="仿宋_GB2312" w:eastAsia="仿宋_GB2312" w:cs="仿宋_GB2312"/>
          <w:color w:val="000000" w:themeColor="text1"/>
          <w:kern w:val="2"/>
          <w:sz w:val="32"/>
          <w:szCs w:val="32"/>
          <w:u w:val="none"/>
          <w:lang w:val="en-US" w:eastAsia="zh-CN" w:bidi="ar-SA"/>
          <w14:textFill>
            <w14:solidFill>
              <w14:schemeClr w14:val="tx1"/>
            </w14:solidFill>
          </w14:textFill>
        </w:rPr>
        <w:t>，操作类别为建筑起重机械司机（塔式起重机），有效期至</w:t>
      </w: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2026</w:t>
      </w:r>
      <w:r>
        <w:rPr>
          <w:rFonts w:hint="eastAsia" w:ascii="仿宋_GB2312" w:hAnsi="仿宋_GB2312" w:eastAsia="仿宋_GB2312" w:cs="仿宋_GB2312"/>
          <w:color w:val="000000" w:themeColor="text1"/>
          <w:kern w:val="2"/>
          <w:sz w:val="32"/>
          <w:szCs w:val="32"/>
          <w:u w:val="none"/>
          <w:lang w:val="en-US" w:eastAsia="zh-CN" w:bidi="ar-SA"/>
          <w14:textFill>
            <w14:solidFill>
              <w14:schemeClr w14:val="tx1"/>
            </w14:solidFill>
          </w14:textFill>
        </w:rPr>
        <w:t>年</w:t>
      </w: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8</w:t>
      </w:r>
      <w:r>
        <w:rPr>
          <w:rFonts w:hint="eastAsia" w:ascii="仿宋_GB2312" w:hAnsi="仿宋_GB2312" w:eastAsia="仿宋_GB2312" w:cs="仿宋_GB2312"/>
          <w:color w:val="000000" w:themeColor="text1"/>
          <w:kern w:val="2"/>
          <w:sz w:val="32"/>
          <w:szCs w:val="32"/>
          <w:u w:val="none"/>
          <w:lang w:val="en-US" w:eastAsia="zh-CN" w:bidi="ar-SA"/>
          <w14:textFill>
            <w14:solidFill>
              <w14:schemeClr w14:val="tx1"/>
            </w14:solidFill>
          </w14:textFill>
        </w:rPr>
        <w:t>月</w:t>
      </w: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10</w:t>
      </w:r>
      <w:r>
        <w:rPr>
          <w:rFonts w:hint="eastAsia" w:ascii="仿宋_GB2312" w:hAnsi="仿宋_GB2312" w:eastAsia="仿宋_GB2312" w:cs="仿宋_GB2312"/>
          <w:color w:val="000000" w:themeColor="text1"/>
          <w:kern w:val="2"/>
          <w:sz w:val="32"/>
          <w:szCs w:val="32"/>
          <w:u w:val="none"/>
          <w:lang w:val="en-US" w:eastAsia="zh-CN" w:bidi="ar-SA"/>
          <w14:textFill>
            <w14:solidFill>
              <w14:schemeClr w14:val="tx1"/>
            </w14:solidFill>
          </w14:textFill>
        </w:rPr>
        <w:t>日。宋某喜持有《建筑施工特种作业操作资格证》，编号为鄂</w:t>
      </w:r>
      <w:r>
        <w:rPr>
          <w:rFonts w:hint="eastAsia" w:ascii="Times New Roman" w:hAnsi="Times New Roman" w:eastAsia="仿宋_GB2312" w:cs="Times New Roman"/>
          <w:color w:val="000000" w:themeColor="text1"/>
          <w:kern w:val="2"/>
          <w:sz w:val="32"/>
          <w:szCs w:val="32"/>
          <w:u w:val="none"/>
          <w:lang w:val="en-US" w:eastAsia="zh-CN" w:bidi="ar-SA"/>
          <w14:textFill>
            <w14:solidFill>
              <w14:schemeClr w14:val="tx1"/>
            </w14:solidFill>
          </w14:textFill>
        </w:rPr>
        <w:t>G</w:t>
      </w: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42022002</w:t>
      </w:r>
      <w:r>
        <w:rPr>
          <w:rFonts w:hint="eastAsia" w:eastAsia="宋体" w:cs="宋体"/>
          <w:color w:val="000000" w:themeColor="text1"/>
          <w:kern w:val="2"/>
          <w:sz w:val="32"/>
          <w:szCs w:val="32"/>
          <w:u w:val="none"/>
          <w:lang w:val="en-US" w:eastAsia="zh-CN" w:bidi="ar-SA"/>
          <w14:textFill>
            <w14:solidFill>
              <w14:schemeClr w14:val="tx1"/>
            </w14:solidFill>
          </w14:textFill>
        </w:rPr>
        <w:t>***</w:t>
      </w:r>
      <w:r>
        <w:rPr>
          <w:rFonts w:hint="eastAsia" w:ascii="仿宋_GB2312" w:hAnsi="仿宋_GB2312" w:eastAsia="仿宋_GB2312" w:cs="仿宋_GB2312"/>
          <w:color w:val="000000" w:themeColor="text1"/>
          <w:kern w:val="2"/>
          <w:sz w:val="32"/>
          <w:szCs w:val="32"/>
          <w:u w:val="none"/>
          <w:lang w:val="en-US" w:eastAsia="zh-CN" w:bidi="ar-SA"/>
          <w14:textFill>
            <w14:solidFill>
              <w14:schemeClr w14:val="tx1"/>
            </w14:solidFill>
          </w14:textFill>
        </w:rPr>
        <w:t>，操作类别为建筑起重机械信号司索工，有效期至</w:t>
      </w: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2026</w:t>
      </w:r>
      <w:r>
        <w:rPr>
          <w:rFonts w:hint="eastAsia" w:ascii="仿宋_GB2312" w:hAnsi="仿宋_GB2312" w:eastAsia="仿宋_GB2312" w:cs="仿宋_GB2312"/>
          <w:color w:val="000000" w:themeColor="text1"/>
          <w:kern w:val="2"/>
          <w:sz w:val="32"/>
          <w:szCs w:val="32"/>
          <w:u w:val="none"/>
          <w:lang w:val="en-US" w:eastAsia="zh-CN" w:bidi="ar-SA"/>
          <w14:textFill>
            <w14:solidFill>
              <w14:schemeClr w14:val="tx1"/>
            </w14:solidFill>
          </w14:textFill>
        </w:rPr>
        <w:t>年</w:t>
      </w: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6</w:t>
      </w:r>
      <w:r>
        <w:rPr>
          <w:rFonts w:hint="eastAsia" w:ascii="仿宋_GB2312" w:hAnsi="仿宋_GB2312" w:eastAsia="仿宋_GB2312" w:cs="仿宋_GB2312"/>
          <w:color w:val="000000" w:themeColor="text1"/>
          <w:kern w:val="2"/>
          <w:sz w:val="32"/>
          <w:szCs w:val="32"/>
          <w:u w:val="none"/>
          <w:lang w:val="en-US" w:eastAsia="zh-CN" w:bidi="ar-SA"/>
          <w14:textFill>
            <w14:solidFill>
              <w14:schemeClr w14:val="tx1"/>
            </w14:solidFill>
          </w14:textFill>
        </w:rPr>
        <w:t>月</w:t>
      </w: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8</w:t>
      </w:r>
      <w:r>
        <w:rPr>
          <w:rFonts w:hint="eastAsia" w:ascii="仿宋_GB2312" w:hAnsi="仿宋_GB2312" w:eastAsia="仿宋_GB2312" w:cs="仿宋_GB2312"/>
          <w:color w:val="000000" w:themeColor="text1"/>
          <w:kern w:val="2"/>
          <w:sz w:val="32"/>
          <w:szCs w:val="32"/>
          <w:u w:val="none"/>
          <w:lang w:val="en-US" w:eastAsia="zh-CN" w:bidi="ar-SA"/>
          <w14:textFill>
            <w14:solidFill>
              <w14:schemeClr w14:val="tx1"/>
            </w14:solidFill>
          </w14:textFill>
        </w:rPr>
        <w:t>日。</w:t>
      </w:r>
    </w:p>
    <w:p w14:paraId="15ACBDBA">
      <w:pPr>
        <w:pStyle w:val="17"/>
        <w:keepNext w:val="0"/>
        <w:keepLines w:val="0"/>
        <w:pageBreakBefore w:val="0"/>
        <w:widowControl w:val="0"/>
        <w:numPr>
          <w:ilvl w:val="0"/>
          <w:numId w:val="0"/>
        </w:numPr>
        <w:kinsoku/>
        <w:wordWrap/>
        <w:overflowPunct/>
        <w:autoSpaceDE/>
        <w:autoSpaceDN/>
        <w:bidi w:val="0"/>
        <w:spacing w:line="560" w:lineRule="exact"/>
        <w:ind w:firstLine="643" w:firstLineChars="200"/>
        <w:jc w:val="both"/>
        <w:textAlignment w:val="auto"/>
        <w:rPr>
          <w:rFonts w:hint="default" w:ascii="仿宋_GB2312" w:hAnsi="仿宋_GB2312" w:eastAsia="仿宋_GB2312" w:cs="仿宋_GB2312"/>
          <w:b/>
          <w:bCs/>
          <w:color w:val="000000" w:themeColor="text1"/>
          <w:kern w:val="2"/>
          <w:sz w:val="32"/>
          <w:szCs w:val="32"/>
          <w:u w:val="none"/>
          <w:lang w:val="en-US" w:eastAsia="zh-CN" w:bidi="ar-SA"/>
          <w14:textFill>
            <w14:solidFill>
              <w14:schemeClr w14:val="tx1"/>
            </w14:solidFill>
          </w14:textFill>
        </w:rPr>
      </w:pPr>
      <w:r>
        <w:rPr>
          <w:rFonts w:hint="eastAsia" w:ascii="宋体" w:hAnsi="宋体" w:eastAsia="宋体" w:cs="宋体"/>
          <w:b/>
          <w:bCs/>
          <w:color w:val="000000" w:themeColor="text1"/>
          <w:kern w:val="2"/>
          <w:sz w:val="32"/>
          <w:szCs w:val="32"/>
          <w:u w:val="none"/>
          <w:lang w:val="en-US" w:eastAsia="zh-CN" w:bidi="ar-SA"/>
          <w14:textFill>
            <w14:solidFill>
              <w14:schemeClr w14:val="tx1"/>
            </w14:solidFill>
          </w14:textFill>
        </w:rPr>
        <w:t>2</w:t>
      </w:r>
      <w:r>
        <w:rPr>
          <w:rFonts w:hint="eastAsia" w:ascii="仿宋_GB2312" w:hAnsi="仿宋_GB2312" w:eastAsia="仿宋_GB2312" w:cs="仿宋_GB2312"/>
          <w:b/>
          <w:bCs/>
          <w:color w:val="000000" w:themeColor="text1"/>
          <w:kern w:val="2"/>
          <w:sz w:val="32"/>
          <w:szCs w:val="32"/>
          <w:u w:val="none"/>
          <w:lang w:val="en-US" w:eastAsia="zh-CN" w:bidi="ar-SA"/>
          <w14:textFill>
            <w14:solidFill>
              <w14:schemeClr w14:val="tx1"/>
            </w14:solidFill>
          </w14:textFill>
        </w:rPr>
        <w:t>.相关人员劳务情况。</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坤建劳务公司与谢某涛签订有劳务合同，期限为</w:t>
      </w:r>
      <w:r>
        <w:rPr>
          <w:rFonts w:hint="eastAsia" w:ascii="宋体" w:hAnsi="宋体" w:eastAsia="宋体" w:cs="宋体"/>
          <w:color w:val="000000" w:themeColor="text1"/>
          <w:sz w:val="32"/>
          <w:szCs w:val="32"/>
          <w:lang w:val="en-US" w:eastAsia="zh-CN"/>
          <w14:textFill>
            <w14:solidFill>
              <w14:schemeClr w14:val="tx1"/>
            </w14:solidFill>
          </w14:textFill>
        </w:rPr>
        <w:t>2026</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年</w:t>
      </w:r>
      <w:r>
        <w:rPr>
          <w:rFonts w:hint="eastAsia" w:ascii="宋体" w:hAnsi="宋体" w:eastAsia="宋体" w:cs="宋体"/>
          <w:color w:val="000000" w:themeColor="text1"/>
          <w:sz w:val="32"/>
          <w:szCs w:val="32"/>
          <w:lang w:val="en-US" w:eastAsia="zh-CN"/>
          <w14:textFill>
            <w14:solidFill>
              <w14:schemeClr w14:val="tx1"/>
            </w14:solidFill>
          </w14:textFill>
        </w:rPr>
        <w:t>3</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月</w:t>
      </w:r>
      <w:r>
        <w:rPr>
          <w:rFonts w:hint="eastAsia" w:ascii="宋体" w:hAnsi="宋体" w:eastAsia="宋体" w:cs="宋体"/>
          <w:color w:val="000000" w:themeColor="text1"/>
          <w:sz w:val="32"/>
          <w:szCs w:val="32"/>
          <w:lang w:val="en-US" w:eastAsia="zh-CN"/>
          <w14:textFill>
            <w14:solidFill>
              <w14:schemeClr w14:val="tx1"/>
            </w14:solidFill>
          </w14:textFill>
        </w:rPr>
        <w:t>17</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日起至</w:t>
      </w:r>
      <w:r>
        <w:rPr>
          <w:rFonts w:hint="eastAsia" w:ascii="宋体" w:hAnsi="宋体" w:eastAsia="宋体" w:cs="宋体"/>
          <w:color w:val="000000" w:themeColor="text1"/>
          <w:sz w:val="32"/>
          <w:szCs w:val="32"/>
          <w:lang w:val="en-US" w:eastAsia="zh-CN"/>
          <w14:textFill>
            <w14:solidFill>
              <w14:schemeClr w14:val="tx1"/>
            </w14:solidFill>
          </w14:textFill>
        </w:rPr>
        <w:t>2026</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年</w:t>
      </w:r>
      <w:r>
        <w:rPr>
          <w:rFonts w:hint="eastAsia" w:ascii="宋体" w:hAnsi="宋体" w:eastAsia="宋体" w:cs="宋体"/>
          <w:color w:val="000000" w:themeColor="text1"/>
          <w:sz w:val="32"/>
          <w:szCs w:val="32"/>
          <w:lang w:val="en-US" w:eastAsia="zh-CN"/>
          <w14:textFill>
            <w14:solidFill>
              <w14:schemeClr w14:val="tx1"/>
            </w14:solidFill>
          </w14:textFill>
        </w:rPr>
        <w:t>12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月</w:t>
      </w:r>
      <w:r>
        <w:rPr>
          <w:rFonts w:hint="eastAsia" w:ascii="宋体" w:hAnsi="宋体" w:eastAsia="宋体" w:cs="宋体"/>
          <w:color w:val="000000" w:themeColor="text1"/>
          <w:sz w:val="32"/>
          <w:szCs w:val="32"/>
          <w:lang w:val="en-US" w:eastAsia="zh-CN"/>
          <w14:textFill>
            <w14:solidFill>
              <w14:schemeClr w14:val="tx1"/>
            </w14:solidFill>
          </w14:textFill>
        </w:rPr>
        <w:t>31</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日止，岗位为PC</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吊装及楼梯防护，工资计酬方式为计件工资。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天晟达劳务公司与宋某喜签订有劳务合同，期限自</w:t>
      </w:r>
      <w:r>
        <w:rPr>
          <w:rFonts w:hint="eastAsia" w:ascii="宋体" w:hAnsi="宋体" w:eastAsia="宋体" w:cs="宋体"/>
          <w:color w:val="000000" w:themeColor="text1"/>
          <w:sz w:val="32"/>
          <w:szCs w:val="32"/>
          <w:lang w:val="en-US" w:eastAsia="zh-CN"/>
          <w14:textFill>
            <w14:solidFill>
              <w14:schemeClr w14:val="tx1"/>
            </w14:solidFill>
          </w14:textFill>
        </w:rPr>
        <w:t>2025</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年</w:t>
      </w:r>
      <w:r>
        <w:rPr>
          <w:rFonts w:hint="eastAsia" w:ascii="宋体" w:hAnsi="宋体" w:eastAsia="宋体" w:cs="宋体"/>
          <w:color w:val="000000" w:themeColor="text1"/>
          <w:sz w:val="32"/>
          <w:szCs w:val="32"/>
          <w:lang w:val="en-US" w:eastAsia="zh-CN"/>
          <w14:textFill>
            <w14:solidFill>
              <w14:schemeClr w14:val="tx1"/>
            </w14:solidFill>
          </w14:textFill>
        </w:rPr>
        <w:t>12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月</w:t>
      </w:r>
      <w:r>
        <w:rPr>
          <w:rFonts w:hint="eastAsia" w:ascii="宋体" w:hAnsi="宋体" w:eastAsia="宋体" w:cs="宋体"/>
          <w:color w:val="000000" w:themeColor="text1"/>
          <w:sz w:val="32"/>
          <w:szCs w:val="32"/>
          <w:lang w:val="en-US" w:eastAsia="zh-CN"/>
          <w14:textFill>
            <w14:solidFill>
              <w14:schemeClr w14:val="tx1"/>
            </w14:solidFill>
          </w14:textFill>
        </w:rPr>
        <w:t>12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日起至项目完工止，岗位为塔吊指挥，劳务报酬为每月</w:t>
      </w:r>
      <w:r>
        <w:rPr>
          <w:rFonts w:hint="eastAsia" w:ascii="宋体" w:hAnsi="宋体" w:eastAsia="宋体" w:cs="宋体"/>
          <w:color w:val="000000" w:themeColor="text1"/>
          <w:sz w:val="32"/>
          <w:szCs w:val="32"/>
          <w:lang w:val="en-US" w:eastAsia="zh-CN"/>
          <w14:textFill>
            <w14:solidFill>
              <w14:schemeClr w14:val="tx1"/>
            </w14:solidFill>
          </w14:textFill>
        </w:rPr>
        <w:t>5500</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元。天晟达劳务公司与何某平签订有劳务合同，期限自</w:t>
      </w:r>
      <w:r>
        <w:rPr>
          <w:rFonts w:hint="eastAsia" w:ascii="宋体" w:hAnsi="宋体" w:eastAsia="宋体" w:cs="宋体"/>
          <w:color w:val="000000" w:themeColor="text1"/>
          <w:sz w:val="32"/>
          <w:szCs w:val="32"/>
          <w:lang w:val="en-US" w:eastAsia="zh-CN"/>
          <w14:textFill>
            <w14:solidFill>
              <w14:schemeClr w14:val="tx1"/>
            </w14:solidFill>
          </w14:textFill>
        </w:rPr>
        <w:t>2026</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年</w:t>
      </w:r>
      <w:r>
        <w:rPr>
          <w:rFonts w:hint="eastAsia" w:ascii="宋体" w:hAnsi="宋体" w:eastAsia="宋体" w:cs="宋体"/>
          <w:color w:val="000000" w:themeColor="text1"/>
          <w:sz w:val="32"/>
          <w:szCs w:val="32"/>
          <w:lang w:val="en-US" w:eastAsia="zh-CN"/>
          <w14:textFill>
            <w14:solidFill>
              <w14:schemeClr w14:val="tx1"/>
            </w14:solidFill>
          </w14:textFill>
        </w:rPr>
        <w:t>3</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月</w:t>
      </w:r>
      <w:r>
        <w:rPr>
          <w:rFonts w:hint="eastAsia" w:ascii="宋体" w:hAnsi="宋体" w:eastAsia="宋体" w:cs="宋体"/>
          <w:color w:val="000000" w:themeColor="text1"/>
          <w:sz w:val="32"/>
          <w:szCs w:val="32"/>
          <w:lang w:val="en-US" w:eastAsia="zh-CN"/>
          <w14:textFill>
            <w14:solidFill>
              <w14:schemeClr w14:val="tx1"/>
            </w14:solidFill>
          </w14:textFill>
        </w:rPr>
        <w:t>7</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日起至项目完工止，岗位为塔吊司机，劳务报酬为每月</w:t>
      </w:r>
      <w:r>
        <w:rPr>
          <w:rFonts w:hint="eastAsia" w:ascii="宋体" w:hAnsi="宋体" w:eastAsia="宋体" w:cs="宋体"/>
          <w:color w:val="000000" w:themeColor="text1"/>
          <w:sz w:val="32"/>
          <w:szCs w:val="32"/>
          <w:lang w:val="en-US" w:eastAsia="zh-CN"/>
          <w14:textFill>
            <w14:solidFill>
              <w14:schemeClr w14:val="tx1"/>
            </w14:solidFill>
          </w14:textFill>
        </w:rPr>
        <w:t>7000</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元。</w:t>
      </w:r>
    </w:p>
    <w:p w14:paraId="677DD70F">
      <w:pPr>
        <w:pStyle w:val="17"/>
        <w:keepNext w:val="0"/>
        <w:keepLines w:val="0"/>
        <w:pageBreakBefore w:val="0"/>
        <w:widowControl w:val="0"/>
        <w:numPr>
          <w:ilvl w:val="0"/>
          <w:numId w:val="0"/>
        </w:numPr>
        <w:kinsoku/>
        <w:wordWrap/>
        <w:overflowPunct/>
        <w:autoSpaceDE/>
        <w:autoSpaceDN/>
        <w:bidi w:val="0"/>
        <w:spacing w:line="560" w:lineRule="exact"/>
        <w:ind w:firstLine="640" w:firstLineChars="200"/>
        <w:jc w:val="both"/>
        <w:textAlignment w:val="auto"/>
        <w:rPr>
          <w:rFonts w:hint="default" w:ascii="Times New Roman" w:hAnsi="Times New Roman" w:eastAsia="仿宋" w:cs="Times New Roman"/>
          <w:color w:val="000000" w:themeColor="text1"/>
          <w:sz w:val="32"/>
          <w:szCs w:val="32"/>
          <w:lang w:val="en-US" w:eastAsia="zh-CN"/>
          <w14:textFill>
            <w14:solidFill>
              <w14:schemeClr w14:val="tx1"/>
            </w14:solidFill>
          </w14:textFill>
        </w:rPr>
      </w:pP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3</w:t>
      </w:r>
      <w:r>
        <w:rPr>
          <w:rFonts w:hint="eastAsia" w:ascii="仿宋_GB2312" w:hAnsi="仿宋_GB2312" w:eastAsia="仿宋_GB2312" w:cs="仿宋_GB2312"/>
          <w:color w:val="000000" w:themeColor="text1"/>
          <w:kern w:val="2"/>
          <w:sz w:val="32"/>
          <w:szCs w:val="32"/>
          <w:u w:val="none"/>
          <w:lang w:val="en-US" w:eastAsia="zh-CN" w:bidi="ar-SA"/>
          <w14:textFill>
            <w14:solidFill>
              <w14:schemeClr w14:val="tx1"/>
            </w14:solidFill>
          </w14:textFill>
        </w:rPr>
        <w:t>.天晟达劳务公司未持有《建筑业企业资质证书》或《建筑业企业施工劳务备案证书》，不具备</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建筑业企业施工劳务资质</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0"/>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p>
    <w:p w14:paraId="36277566">
      <w:pPr>
        <w:pStyle w:val="8"/>
        <w:keepNext w:val="0"/>
        <w:keepLines w:val="0"/>
        <w:pageBreakBefore w:val="0"/>
        <w:widowControl w:val="0"/>
        <w:kinsoku/>
        <w:wordWrap/>
        <w:overflowPunct/>
        <w:autoSpaceDE/>
        <w:autoSpaceDN/>
        <w:bidi w:val="0"/>
        <w:spacing w:line="560" w:lineRule="exact"/>
        <w:ind w:firstLine="640" w:firstLineChars="200"/>
        <w:jc w:val="both"/>
        <w:textAlignment w:val="auto"/>
        <w:outlineLvl w:val="0"/>
        <w:rPr>
          <w:rFonts w:hint="default"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pPr>
      <w:bookmarkStart w:id="36" w:name="_Toc8727"/>
      <w:r>
        <w:rPr>
          <w:rFonts w:hint="eastAsia" w:ascii="宋体" w:hAnsi="宋体" w:eastAsia="宋体" w:cs="宋体"/>
          <w:color w:val="000000" w:themeColor="text1"/>
          <w:kern w:val="2"/>
          <w:sz w:val="32"/>
          <w:szCs w:val="32"/>
          <w:u w:val="none" w:color="auto"/>
          <w:lang w:val="en-US" w:eastAsia="zh-CN" w:bidi="ar-SA"/>
          <w14:textFill>
            <w14:solidFill>
              <w14:schemeClr w14:val="tx1"/>
            </w14:solidFill>
          </w14:textFill>
        </w:rPr>
        <w:t>4</w:t>
      </w: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.根据《湖北省房屋市政工程危险性较大的分部分项工程安全管理实施细则》关于危大工程范围的补充</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1"/>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，叠合板吊装安装作业属于危大工程。</w:t>
      </w:r>
      <w:bookmarkEnd w:id="36"/>
    </w:p>
    <w:p w14:paraId="382EF36B">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default" w:ascii="黑体" w:hAnsi="黑体" w:eastAsia="黑体" w:cs="黑体"/>
          <w:sz w:val="32"/>
          <w:szCs w:val="32"/>
          <w:lang w:val="en-US" w:eastAsia="zh-CN"/>
        </w:rPr>
      </w:pPr>
      <w:r>
        <w:rPr>
          <w:rFonts w:hint="eastAsia" w:ascii="宋体" w:hAnsi="宋体" w:eastAsia="宋体" w:cs="宋体"/>
          <w:sz w:val="32"/>
          <w:szCs w:val="32"/>
          <w:lang w:val="en-US" w:eastAsia="zh-CN"/>
        </w:rPr>
        <w:t>5</w:t>
      </w:r>
      <w:r>
        <w:rPr>
          <w:rFonts w:hint="eastAsia" w:ascii="黑体" w:hAnsi="黑体" w:eastAsia="黑体" w:cs="黑体"/>
          <w:sz w:val="32"/>
          <w:szCs w:val="32"/>
          <w:lang w:val="en-US" w:eastAsia="zh-CN"/>
        </w:rPr>
        <w:t>.</w:t>
      </w:r>
      <w:r>
        <w:rPr>
          <w:rFonts w:hint="eastAsia" w:ascii="Times New Roman" w:hAnsi="Times New Roman" w:eastAsia="仿宋_GB2312" w:cs="Times New Roman"/>
          <w:color w:val="000000" w:themeColor="text1"/>
          <w:kern w:val="2"/>
          <w:sz w:val="32"/>
          <w:szCs w:val="32"/>
          <w:u w:val="none" w:color="auto"/>
          <w:lang w:val="en-US" w:eastAsia="zh-CN" w:bidi="ar-SA"/>
          <w14:textFill>
            <w14:solidFill>
              <w14:schemeClr w14:val="tx1"/>
            </w14:solidFill>
          </w14:textFill>
        </w:rPr>
        <w:t>事发塔吊编号为</w:t>
      </w:r>
      <w:r>
        <w:rPr>
          <w:rFonts w:hint="eastAsia" w:ascii="宋体" w:hAnsi="宋体" w:eastAsia="宋体" w:cs="宋体"/>
          <w:color w:val="000000" w:themeColor="text1"/>
          <w:kern w:val="2"/>
          <w:sz w:val="32"/>
          <w:szCs w:val="32"/>
          <w:u w:val="none" w:color="auto"/>
          <w:lang w:val="en-US" w:eastAsia="zh-CN" w:bidi="ar-SA"/>
          <w14:textFill>
            <w14:solidFill>
              <w14:schemeClr w14:val="tx1"/>
            </w14:solidFill>
          </w14:textFill>
        </w:rPr>
        <w:t>5</w:t>
      </w:r>
      <w:r>
        <w:rPr>
          <w:rFonts w:hint="eastAsia" w:ascii="Times New Roman" w:hAnsi="Times New Roman" w:eastAsia="仿宋_GB2312" w:cs="Times New Roman"/>
          <w:color w:val="000000" w:themeColor="text1"/>
          <w:kern w:val="2"/>
          <w:sz w:val="32"/>
          <w:szCs w:val="32"/>
          <w:u w:val="none" w:color="auto"/>
          <w:lang w:val="en-US" w:eastAsia="zh-CN" w:bidi="ar-SA"/>
          <w14:textFill>
            <w14:solidFill>
              <w14:schemeClr w14:val="tx1"/>
            </w14:solidFill>
          </w14:textFill>
        </w:rPr>
        <w:t>#，设备类别为塔式起重机，规格型号为</w:t>
      </w:r>
      <w:r>
        <w:rPr>
          <w:rFonts w:hint="eastAsia" w:ascii="Times New Roman" w:hAnsi="Times New Roman" w:eastAsia="宋体" w:cs="Times New Roman"/>
          <w:color w:val="000000" w:themeColor="text1"/>
          <w:kern w:val="2"/>
          <w:sz w:val="32"/>
          <w:szCs w:val="32"/>
          <w:u w:val="none" w:color="auto"/>
          <w:lang w:val="en-US" w:eastAsia="zh-CN" w:bidi="ar-SA"/>
          <w14:textFill>
            <w14:solidFill>
              <w14:schemeClr w14:val="tx1"/>
            </w14:solidFill>
          </w14:textFill>
        </w:rPr>
        <w:t>STB</w:t>
      </w:r>
      <w:r>
        <w:rPr>
          <w:rFonts w:hint="eastAsia" w:ascii="宋体" w:hAnsi="宋体" w:eastAsia="宋体" w:cs="宋体"/>
          <w:color w:val="000000" w:themeColor="text1"/>
          <w:kern w:val="2"/>
          <w:sz w:val="32"/>
          <w:szCs w:val="32"/>
          <w:u w:val="none" w:color="auto"/>
          <w:lang w:val="en-US" w:eastAsia="zh-CN" w:bidi="ar-SA"/>
          <w14:textFill>
            <w14:solidFill>
              <w14:schemeClr w14:val="tx1"/>
            </w14:solidFill>
          </w14:textFill>
        </w:rPr>
        <w:t>125</w:t>
      </w:r>
      <w:r>
        <w:rPr>
          <w:rFonts w:hint="eastAsia" w:ascii="Times New Roman" w:hAnsi="Times New Roman" w:eastAsia="宋体" w:cs="Times New Roman"/>
          <w:color w:val="000000" w:themeColor="text1"/>
          <w:kern w:val="2"/>
          <w:sz w:val="32"/>
          <w:szCs w:val="32"/>
          <w:u w:val="none" w:color="auto"/>
          <w:lang w:val="en-US" w:eastAsia="zh-CN" w:bidi="ar-SA"/>
          <w14:textFill>
            <w14:solidFill>
              <w14:schemeClr w14:val="tx1"/>
            </w14:solidFill>
          </w14:textFill>
        </w:rPr>
        <w:t>B</w:t>
      </w:r>
      <w:r>
        <w:rPr>
          <w:rFonts w:hint="eastAsia" w:ascii="Times New Roman" w:hAnsi="Times New Roman" w:eastAsia="仿宋_GB2312" w:cs="Times New Roman"/>
          <w:color w:val="000000" w:themeColor="text1"/>
          <w:kern w:val="2"/>
          <w:sz w:val="32"/>
          <w:szCs w:val="32"/>
          <w:u w:val="none" w:color="auto"/>
          <w:lang w:val="en-US" w:eastAsia="zh-CN" w:bidi="ar-SA"/>
          <w14:textFill>
            <w14:solidFill>
              <w14:schemeClr w14:val="tx1"/>
            </w14:solidFill>
          </w14:textFill>
        </w:rPr>
        <w:t>，建筑起重机械使用登记证书编号为</w:t>
      </w:r>
      <w:r>
        <w:rPr>
          <w:rFonts w:hint="eastAsia" w:ascii="宋体" w:hAnsi="宋体" w:eastAsia="宋体" w:cs="宋体"/>
          <w:color w:val="000000" w:themeColor="text1"/>
          <w:kern w:val="2"/>
          <w:sz w:val="32"/>
          <w:szCs w:val="32"/>
          <w:u w:val="none" w:color="auto"/>
          <w:lang w:val="en-US" w:eastAsia="zh-CN" w:bidi="ar-SA"/>
          <w14:textFill>
            <w14:solidFill>
              <w14:schemeClr w14:val="tx1"/>
            </w14:solidFill>
          </w14:textFill>
        </w:rPr>
        <w:t>420107</w:t>
      </w:r>
      <w:r>
        <w:rPr>
          <w:rFonts w:hint="eastAsia" w:ascii="Times New Roman" w:hAnsi="Times New Roman" w:eastAsia="宋体" w:cs="Times New Roman"/>
          <w:color w:val="000000" w:themeColor="text1"/>
          <w:kern w:val="2"/>
          <w:sz w:val="32"/>
          <w:szCs w:val="32"/>
          <w:u w:val="none" w:color="auto"/>
          <w:lang w:val="en-US" w:eastAsia="zh-CN" w:bidi="ar-SA"/>
          <w14:textFill>
            <w14:solidFill>
              <w14:schemeClr w14:val="tx1"/>
            </w14:solidFill>
          </w14:textFill>
        </w:rPr>
        <w:t>T</w:t>
      </w:r>
      <w:r>
        <w:rPr>
          <w:rFonts w:hint="eastAsia" w:ascii="Times New Roman" w:hAnsi="Times New Roman" w:eastAsia="仿宋_GB2312" w:cs="Times New Roman"/>
          <w:color w:val="000000" w:themeColor="text1"/>
          <w:kern w:val="2"/>
          <w:sz w:val="32"/>
          <w:szCs w:val="32"/>
          <w:u w:val="none" w:color="auto"/>
          <w:lang w:val="en-US" w:eastAsia="zh-CN" w:bidi="ar-SA"/>
          <w14:textFill>
            <w14:solidFill>
              <w14:schemeClr w14:val="tx1"/>
            </w14:solidFill>
          </w14:textFill>
        </w:rPr>
        <w:t>（</w:t>
      </w:r>
      <w:r>
        <w:rPr>
          <w:rFonts w:hint="eastAsia" w:ascii="宋体" w:hAnsi="宋体" w:eastAsia="宋体" w:cs="宋体"/>
          <w:color w:val="000000" w:themeColor="text1"/>
          <w:kern w:val="2"/>
          <w:sz w:val="32"/>
          <w:szCs w:val="32"/>
          <w:u w:val="none" w:color="auto"/>
          <w:lang w:val="en-US" w:eastAsia="zh-CN" w:bidi="ar-SA"/>
          <w14:textFill>
            <w14:solidFill>
              <w14:schemeClr w14:val="tx1"/>
            </w14:solidFill>
          </w14:textFill>
        </w:rPr>
        <w:t>2025</w:t>
      </w:r>
      <w:r>
        <w:rPr>
          <w:rFonts w:hint="eastAsia" w:ascii="Times New Roman" w:hAnsi="Times New Roman" w:eastAsia="仿宋_GB2312" w:cs="Times New Roman"/>
          <w:color w:val="000000" w:themeColor="text1"/>
          <w:kern w:val="2"/>
          <w:sz w:val="32"/>
          <w:szCs w:val="32"/>
          <w:u w:val="none" w:color="auto"/>
          <w:lang w:val="en-US" w:eastAsia="zh-CN" w:bidi="ar-SA"/>
          <w14:textFill>
            <w14:solidFill>
              <w14:schemeClr w14:val="tx1"/>
            </w14:solidFill>
          </w14:textFill>
        </w:rPr>
        <w:t>）</w:t>
      </w:r>
      <w:r>
        <w:rPr>
          <w:rFonts w:hint="eastAsia" w:ascii="宋体" w:hAnsi="宋体" w:eastAsia="宋体" w:cs="宋体"/>
          <w:color w:val="000000" w:themeColor="text1"/>
          <w:kern w:val="2"/>
          <w:sz w:val="32"/>
          <w:szCs w:val="32"/>
          <w:u w:val="none" w:color="auto"/>
          <w:lang w:val="en-US" w:eastAsia="zh-CN" w:bidi="ar-SA"/>
          <w14:textFill>
            <w14:solidFill>
              <w14:schemeClr w14:val="tx1"/>
            </w14:solidFill>
          </w14:textFill>
        </w:rPr>
        <w:t>0000088</w:t>
      </w:r>
      <w:r>
        <w:rPr>
          <w:rFonts w:hint="eastAsia" w:ascii="Times New Roman" w:hAnsi="Times New Roman" w:eastAsia="仿宋_GB2312" w:cs="Times New Roman"/>
          <w:color w:val="000000" w:themeColor="text1"/>
          <w:kern w:val="2"/>
          <w:sz w:val="32"/>
          <w:szCs w:val="32"/>
          <w:u w:val="none" w:color="auto"/>
          <w:lang w:val="en-US" w:eastAsia="zh-CN" w:bidi="ar-SA"/>
          <w14:textFill>
            <w14:solidFill>
              <w14:schemeClr w14:val="tx1"/>
            </w14:solidFill>
          </w14:textFill>
        </w:rPr>
        <w:t>，年度检验结论为合格（</w:t>
      </w:r>
      <w:r>
        <w:rPr>
          <w:rFonts w:hint="eastAsia" w:ascii="宋体" w:hAnsi="宋体" w:eastAsia="宋体" w:cs="宋体"/>
          <w:color w:val="000000" w:themeColor="text1"/>
          <w:kern w:val="2"/>
          <w:sz w:val="32"/>
          <w:szCs w:val="32"/>
          <w:u w:val="none" w:color="auto"/>
          <w:lang w:val="en-US" w:eastAsia="zh-CN" w:bidi="ar-SA"/>
          <w14:textFill>
            <w14:solidFill>
              <w14:schemeClr w14:val="tx1"/>
            </w14:solidFill>
          </w14:textFill>
        </w:rPr>
        <w:t>2025</w:t>
      </w:r>
      <w:r>
        <w:rPr>
          <w:rFonts w:hint="eastAsia" w:ascii="Times New Roman" w:hAnsi="Times New Roman" w:eastAsia="仿宋_GB2312" w:cs="Times New Roman"/>
          <w:color w:val="000000" w:themeColor="text1"/>
          <w:kern w:val="2"/>
          <w:sz w:val="32"/>
          <w:szCs w:val="32"/>
          <w:u w:val="none" w:color="auto"/>
          <w:lang w:val="en-US" w:eastAsia="zh-CN" w:bidi="ar-SA"/>
          <w14:textFill>
            <w14:solidFill>
              <w14:schemeClr w14:val="tx1"/>
            </w14:solidFill>
          </w14:textFill>
        </w:rPr>
        <w:t>年</w:t>
      </w:r>
      <w:r>
        <w:rPr>
          <w:rFonts w:hint="eastAsia" w:ascii="宋体" w:hAnsi="宋体" w:eastAsia="宋体" w:cs="宋体"/>
          <w:color w:val="000000" w:themeColor="text1"/>
          <w:kern w:val="2"/>
          <w:sz w:val="32"/>
          <w:szCs w:val="32"/>
          <w:u w:val="none" w:color="auto"/>
          <w:lang w:val="en-US" w:eastAsia="zh-CN" w:bidi="ar-SA"/>
          <w14:textFill>
            <w14:solidFill>
              <w14:schemeClr w14:val="tx1"/>
            </w14:solidFill>
          </w14:textFill>
        </w:rPr>
        <w:t>10</w:t>
      </w:r>
      <w:r>
        <w:rPr>
          <w:rFonts w:hint="eastAsia" w:ascii="Times New Roman" w:hAnsi="Times New Roman" w:eastAsia="仿宋_GB2312" w:cs="Times New Roman"/>
          <w:color w:val="000000" w:themeColor="text1"/>
          <w:kern w:val="2"/>
          <w:sz w:val="32"/>
          <w:szCs w:val="32"/>
          <w:u w:val="none" w:color="auto"/>
          <w:lang w:val="en-US" w:eastAsia="zh-CN" w:bidi="ar-SA"/>
          <w14:textFill>
            <w14:solidFill>
              <w14:schemeClr w14:val="tx1"/>
            </w14:solidFill>
          </w14:textFill>
        </w:rPr>
        <w:t>月</w:t>
      </w:r>
      <w:r>
        <w:rPr>
          <w:rFonts w:hint="eastAsia" w:ascii="宋体" w:hAnsi="宋体" w:eastAsia="宋体" w:cs="宋体"/>
          <w:color w:val="000000" w:themeColor="text1"/>
          <w:kern w:val="2"/>
          <w:sz w:val="32"/>
          <w:szCs w:val="32"/>
          <w:u w:val="none" w:color="auto"/>
          <w:lang w:val="en-US" w:eastAsia="zh-CN" w:bidi="ar-SA"/>
          <w14:textFill>
            <w14:solidFill>
              <w14:schemeClr w14:val="tx1"/>
            </w14:solidFill>
          </w14:textFill>
        </w:rPr>
        <w:t>14</w:t>
      </w:r>
      <w:r>
        <w:rPr>
          <w:rFonts w:hint="eastAsia" w:ascii="Times New Roman" w:hAnsi="Times New Roman" w:eastAsia="仿宋_GB2312" w:cs="Times New Roman"/>
          <w:color w:val="000000" w:themeColor="text1"/>
          <w:kern w:val="2"/>
          <w:sz w:val="32"/>
          <w:szCs w:val="32"/>
          <w:u w:val="none" w:color="auto"/>
          <w:lang w:val="en-US" w:eastAsia="zh-CN" w:bidi="ar-SA"/>
          <w14:textFill>
            <w14:solidFill>
              <w14:schemeClr w14:val="tx1"/>
            </w14:solidFill>
          </w14:textFill>
        </w:rPr>
        <w:t>日），检验最近一次月度检验结论为合格（</w:t>
      </w:r>
      <w:r>
        <w:rPr>
          <w:rFonts w:hint="eastAsia" w:ascii="宋体" w:hAnsi="宋体" w:eastAsia="宋体" w:cs="宋体"/>
          <w:color w:val="000000" w:themeColor="text1"/>
          <w:kern w:val="2"/>
          <w:sz w:val="32"/>
          <w:szCs w:val="32"/>
          <w:u w:val="none" w:color="auto"/>
          <w:lang w:val="en-US" w:eastAsia="zh-CN" w:bidi="ar-SA"/>
          <w14:textFill>
            <w14:solidFill>
              <w14:schemeClr w14:val="tx1"/>
            </w14:solidFill>
          </w14:textFill>
        </w:rPr>
        <w:t>2026</w:t>
      </w:r>
      <w:r>
        <w:rPr>
          <w:rFonts w:hint="eastAsia" w:ascii="Times New Roman" w:hAnsi="Times New Roman" w:eastAsia="仿宋_GB2312" w:cs="Times New Roman"/>
          <w:color w:val="000000" w:themeColor="text1"/>
          <w:kern w:val="2"/>
          <w:sz w:val="32"/>
          <w:szCs w:val="32"/>
          <w:u w:val="none" w:color="auto"/>
          <w:lang w:val="en-US" w:eastAsia="zh-CN" w:bidi="ar-SA"/>
          <w14:textFill>
            <w14:solidFill>
              <w14:schemeClr w14:val="tx1"/>
            </w14:solidFill>
          </w14:textFill>
        </w:rPr>
        <w:t>年</w:t>
      </w:r>
      <w:r>
        <w:rPr>
          <w:rFonts w:hint="eastAsia" w:ascii="宋体" w:hAnsi="宋体" w:eastAsia="宋体" w:cs="宋体"/>
          <w:color w:val="000000" w:themeColor="text1"/>
          <w:kern w:val="2"/>
          <w:sz w:val="32"/>
          <w:szCs w:val="32"/>
          <w:u w:val="none" w:color="auto"/>
          <w:lang w:val="en-US" w:eastAsia="zh-CN" w:bidi="ar-SA"/>
          <w14:textFill>
            <w14:solidFill>
              <w14:schemeClr w14:val="tx1"/>
            </w14:solidFill>
          </w14:textFill>
        </w:rPr>
        <w:t>2</w:t>
      </w:r>
      <w:r>
        <w:rPr>
          <w:rFonts w:hint="eastAsia" w:ascii="Times New Roman" w:hAnsi="Times New Roman" w:eastAsia="仿宋_GB2312" w:cs="Times New Roman"/>
          <w:color w:val="000000" w:themeColor="text1"/>
          <w:kern w:val="2"/>
          <w:sz w:val="32"/>
          <w:szCs w:val="32"/>
          <w:u w:val="none" w:color="auto"/>
          <w:lang w:val="en-US" w:eastAsia="zh-CN" w:bidi="ar-SA"/>
          <w14:textFill>
            <w14:solidFill>
              <w14:schemeClr w14:val="tx1"/>
            </w14:solidFill>
          </w14:textFill>
        </w:rPr>
        <w:t>月</w:t>
      </w:r>
      <w:r>
        <w:rPr>
          <w:rFonts w:hint="eastAsia" w:ascii="宋体" w:hAnsi="宋体" w:eastAsia="宋体" w:cs="宋体"/>
          <w:color w:val="000000" w:themeColor="text1"/>
          <w:kern w:val="2"/>
          <w:sz w:val="32"/>
          <w:szCs w:val="32"/>
          <w:u w:val="none" w:color="auto"/>
          <w:lang w:val="en-US" w:eastAsia="zh-CN" w:bidi="ar-SA"/>
          <w14:textFill>
            <w14:solidFill>
              <w14:schemeClr w14:val="tx1"/>
            </w14:solidFill>
          </w14:textFill>
        </w:rPr>
        <w:t>28</w:t>
      </w:r>
      <w:r>
        <w:rPr>
          <w:rFonts w:hint="eastAsia" w:ascii="Times New Roman" w:hAnsi="Times New Roman" w:eastAsia="仿宋_GB2312" w:cs="Times New Roman"/>
          <w:color w:val="000000" w:themeColor="text1"/>
          <w:kern w:val="2"/>
          <w:sz w:val="32"/>
          <w:szCs w:val="32"/>
          <w:u w:val="none" w:color="auto"/>
          <w:lang w:val="en-US" w:eastAsia="zh-CN" w:bidi="ar-SA"/>
          <w14:textFill>
            <w14:solidFill>
              <w14:schemeClr w14:val="tx1"/>
            </w14:solidFill>
          </w14:textFill>
        </w:rPr>
        <w:t>日）。</w:t>
      </w:r>
    </w:p>
    <w:p w14:paraId="352CBDDA">
      <w:pPr>
        <w:pStyle w:val="8"/>
        <w:keepNext w:val="0"/>
        <w:keepLines w:val="0"/>
        <w:pageBreakBefore w:val="0"/>
        <w:widowControl w:val="0"/>
        <w:kinsoku/>
        <w:wordWrap/>
        <w:overflowPunct/>
        <w:autoSpaceDE/>
        <w:autoSpaceDN/>
        <w:bidi w:val="0"/>
        <w:spacing w:line="560" w:lineRule="exact"/>
        <w:ind w:firstLine="640" w:firstLineChars="200"/>
        <w:jc w:val="both"/>
        <w:textAlignment w:val="auto"/>
        <w:outlineLvl w:val="0"/>
        <w:rPr>
          <w:rFonts w:hint="eastAsia" w:ascii="黑体" w:hAnsi="黑体" w:eastAsia="黑体" w:cs="黑体"/>
          <w:sz w:val="32"/>
          <w:szCs w:val="32"/>
          <w:lang w:val="en-US" w:eastAsia="zh-CN"/>
        </w:rPr>
      </w:pPr>
      <w:bookmarkStart w:id="37" w:name="_Toc23508"/>
      <w:r>
        <w:rPr>
          <w:rFonts w:hint="eastAsia" w:ascii="黑体" w:hAnsi="黑体" w:eastAsia="黑体" w:cs="黑体"/>
          <w:sz w:val="32"/>
          <w:szCs w:val="32"/>
          <w:lang w:val="en-US" w:eastAsia="zh-CN"/>
        </w:rPr>
        <w:t>二、事故应急处置及评估情况</w:t>
      </w:r>
      <w:bookmarkEnd w:id="37"/>
    </w:p>
    <w:p w14:paraId="7E1BDEE9">
      <w:pPr>
        <w:pStyle w:val="10"/>
        <w:keepNext w:val="0"/>
        <w:keepLines w:val="0"/>
        <w:pageBreakBefore w:val="0"/>
        <w:widowControl w:val="0"/>
        <w:kinsoku/>
        <w:wordWrap/>
        <w:overflowPunct/>
        <w:autoSpaceDE/>
        <w:autoSpaceDN/>
        <w:bidi w:val="0"/>
        <w:spacing w:line="560" w:lineRule="exact"/>
        <w:ind w:left="0" w:leftChars="0" w:firstLine="643" w:firstLineChars="200"/>
        <w:jc w:val="both"/>
        <w:textAlignment w:val="auto"/>
        <w:outlineLvl w:val="1"/>
        <w:rPr>
          <w:rFonts w:hint="eastAsia" w:ascii="楷体_GB2312" w:hAnsi="楷体_GB2312" w:eastAsia="楷体_GB2312" w:cs="楷体_GB2312"/>
          <w:b/>
          <w:bCs/>
          <w:sz w:val="32"/>
          <w:szCs w:val="32"/>
          <w:lang w:val="en-US" w:eastAsia="zh-CN"/>
        </w:rPr>
      </w:pPr>
      <w:bookmarkStart w:id="38" w:name="_Toc21518"/>
      <w:r>
        <w:rPr>
          <w:rFonts w:hint="eastAsia" w:ascii="楷体_GB2312" w:hAnsi="楷体_GB2312" w:eastAsia="楷体_GB2312" w:cs="楷体_GB2312"/>
          <w:b/>
          <w:bCs/>
          <w:sz w:val="32"/>
          <w:szCs w:val="32"/>
          <w:lang w:val="en-US" w:eastAsia="zh-CN"/>
        </w:rPr>
        <w:t>（一）事故信息接报及响应情况</w:t>
      </w:r>
      <w:bookmarkEnd w:id="38"/>
    </w:p>
    <w:p w14:paraId="6B73A2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pPr>
      <w:r>
        <w:rPr>
          <w:rFonts w:hint="eastAsia" w:ascii="宋体" w:hAnsi="宋体" w:eastAsia="宋体" w:cs="宋体"/>
          <w:color w:val="000000" w:themeColor="text1"/>
          <w:kern w:val="2"/>
          <w:sz w:val="32"/>
          <w:szCs w:val="32"/>
          <w:u w:val="none" w:color="auto"/>
          <w:lang w:val="en-US" w:eastAsia="zh-CN" w:bidi="ar-SA"/>
          <w14:textFill>
            <w14:solidFill>
              <w14:schemeClr w14:val="tx1"/>
            </w14:solidFill>
          </w14:textFill>
        </w:rPr>
        <w:t>3</w:t>
      </w: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月</w:t>
      </w:r>
      <w:r>
        <w:rPr>
          <w:rFonts w:hint="eastAsia" w:ascii="宋体" w:hAnsi="宋体" w:eastAsia="宋体" w:cs="宋体"/>
          <w:color w:val="000000" w:themeColor="text1"/>
          <w:kern w:val="2"/>
          <w:sz w:val="32"/>
          <w:szCs w:val="32"/>
          <w:u w:val="none" w:color="auto"/>
          <w:lang w:val="en-US" w:eastAsia="zh-CN" w:bidi="ar-SA"/>
          <w14:textFill>
            <w14:solidFill>
              <w14:schemeClr w14:val="tx1"/>
            </w14:solidFill>
          </w14:textFill>
        </w:rPr>
        <w:t>21</w:t>
      </w: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日</w:t>
      </w:r>
      <w:r>
        <w:rPr>
          <w:rFonts w:hint="eastAsia" w:ascii="宋体" w:hAnsi="宋体" w:eastAsia="宋体" w:cs="宋体"/>
          <w:color w:val="000000" w:themeColor="text1"/>
          <w:kern w:val="2"/>
          <w:sz w:val="32"/>
          <w:szCs w:val="32"/>
          <w:u w:val="none" w:color="auto"/>
          <w:lang w:val="en-US" w:eastAsia="zh-CN" w:bidi="ar-SA"/>
          <w14:textFill>
            <w14:solidFill>
              <w14:schemeClr w14:val="tx1"/>
            </w14:solidFill>
          </w14:textFill>
        </w:rPr>
        <w:t>18</w:t>
      </w: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时</w:t>
      </w:r>
      <w:r>
        <w:rPr>
          <w:rFonts w:hint="eastAsia" w:ascii="宋体" w:hAnsi="宋体" w:eastAsia="宋体" w:cs="宋体"/>
          <w:color w:val="000000" w:themeColor="text1"/>
          <w:kern w:val="2"/>
          <w:sz w:val="32"/>
          <w:szCs w:val="32"/>
          <w:u w:val="none" w:color="auto"/>
          <w:lang w:val="en-US" w:eastAsia="zh-CN" w:bidi="ar-SA"/>
          <w14:textFill>
            <w14:solidFill>
              <w14:schemeClr w14:val="tx1"/>
            </w14:solidFill>
          </w14:textFill>
        </w:rPr>
        <w:t>20</w:t>
      </w: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分，区资建局接欣易彩建筑公司事故信息报告后赶赴事故项目现场。</w:t>
      </w:r>
      <w:r>
        <w:rPr>
          <w:rFonts w:hint="eastAsia" w:ascii="宋体" w:hAnsi="宋体" w:eastAsia="宋体" w:cs="宋体"/>
          <w:color w:val="000000" w:themeColor="text1"/>
          <w:kern w:val="2"/>
          <w:sz w:val="32"/>
          <w:szCs w:val="32"/>
          <w:u w:val="none" w:color="auto"/>
          <w:lang w:val="en-US" w:eastAsia="zh-CN" w:bidi="ar-SA"/>
          <w14:textFill>
            <w14:solidFill>
              <w14:schemeClr w14:val="tx1"/>
            </w14:solidFill>
          </w14:textFill>
        </w:rPr>
        <w:t>18</w:t>
      </w: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时</w:t>
      </w:r>
      <w:r>
        <w:rPr>
          <w:rFonts w:hint="eastAsia" w:ascii="宋体" w:hAnsi="宋体" w:eastAsia="宋体" w:cs="宋体"/>
          <w:color w:val="000000" w:themeColor="text1"/>
          <w:kern w:val="2"/>
          <w:sz w:val="32"/>
          <w:szCs w:val="32"/>
          <w:u w:val="none" w:color="auto"/>
          <w:lang w:val="en-US" w:eastAsia="zh-CN" w:bidi="ar-SA"/>
          <w14:textFill>
            <w14:solidFill>
              <w14:schemeClr w14:val="tx1"/>
            </w14:solidFill>
          </w14:textFill>
        </w:rPr>
        <w:t>30</w:t>
      </w: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分，区应急管理局接区资建局信息上报后赶赴事故项目现场。区公安分局、红卫路街道办事处接报后均立即组织人员赶赴事故项目现场。</w:t>
      </w:r>
    </w:p>
    <w:p w14:paraId="4983C051">
      <w:pPr>
        <w:pStyle w:val="10"/>
        <w:keepNext w:val="0"/>
        <w:keepLines w:val="0"/>
        <w:pageBreakBefore w:val="0"/>
        <w:widowControl w:val="0"/>
        <w:kinsoku/>
        <w:wordWrap/>
        <w:overflowPunct/>
        <w:autoSpaceDE/>
        <w:autoSpaceDN/>
        <w:bidi w:val="0"/>
        <w:spacing w:line="560" w:lineRule="exact"/>
        <w:ind w:left="0" w:leftChars="0" w:firstLine="643" w:firstLineChars="200"/>
        <w:jc w:val="both"/>
        <w:textAlignment w:val="auto"/>
        <w:outlineLvl w:val="1"/>
        <w:rPr>
          <w:rFonts w:hint="eastAsia" w:ascii="楷体_GB2312" w:hAnsi="楷体_GB2312" w:eastAsia="楷体_GB2312" w:cs="楷体_GB2312"/>
          <w:b/>
          <w:bCs/>
          <w:sz w:val="32"/>
          <w:szCs w:val="32"/>
          <w:lang w:val="en-US" w:eastAsia="zh-CN"/>
        </w:rPr>
      </w:pPr>
      <w:bookmarkStart w:id="39" w:name="_Toc27138"/>
      <w:r>
        <w:rPr>
          <w:rFonts w:hint="eastAsia" w:ascii="楷体_GB2312" w:hAnsi="楷体_GB2312" w:eastAsia="楷体_GB2312" w:cs="楷体_GB2312"/>
          <w:b/>
          <w:bCs/>
          <w:sz w:val="32"/>
          <w:szCs w:val="32"/>
          <w:lang w:val="en-US" w:eastAsia="zh-CN"/>
        </w:rPr>
        <w:t>（二）事故现场应急处置情况</w:t>
      </w:r>
      <w:bookmarkEnd w:id="39"/>
    </w:p>
    <w:p w14:paraId="1EFC6C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pPr>
      <w:bookmarkStart w:id="40" w:name="_Toc9987"/>
      <w:bookmarkStart w:id="41" w:name="_Toc8376"/>
      <w:r>
        <w:rPr>
          <w:rFonts w:hint="eastAsia" w:ascii="宋体" w:hAnsi="宋体" w:eastAsia="宋体" w:cs="宋体"/>
          <w:color w:val="000000" w:themeColor="text1"/>
          <w:sz w:val="32"/>
          <w:szCs w:val="32"/>
          <w:lang w:val="en-US" w:eastAsia="zh-CN"/>
          <w14:textFill>
            <w14:solidFill>
              <w14:schemeClr w14:val="tx1"/>
            </w14:solidFill>
          </w14:textFill>
        </w:rPr>
        <w:t>18</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时</w:t>
      </w:r>
      <w:r>
        <w:rPr>
          <w:rFonts w:hint="eastAsia" w:ascii="宋体" w:hAnsi="宋体" w:eastAsia="宋体" w:cs="宋体"/>
          <w:color w:val="000000" w:themeColor="text1"/>
          <w:sz w:val="32"/>
          <w:szCs w:val="32"/>
          <w:lang w:val="en-US" w:eastAsia="zh-CN"/>
          <w14:textFill>
            <w14:solidFill>
              <w14:schemeClr w14:val="tx1"/>
            </w14:solidFill>
          </w14:textFill>
        </w:rPr>
        <w:t>09</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分，</w:t>
      </w: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现场人员听到谢某涛喊声后，立即在地面上对着塔吊驾驶室呼喊并做出停止吊装的手势。</w:t>
      </w:r>
      <w:r>
        <w:rPr>
          <w:rFonts w:hint="eastAsia" w:ascii="宋体" w:hAnsi="宋体" w:eastAsia="宋体" w:cs="宋体"/>
          <w:color w:val="000000" w:themeColor="text1"/>
          <w:kern w:val="2"/>
          <w:sz w:val="32"/>
          <w:szCs w:val="32"/>
          <w:u w:val="none" w:color="auto"/>
          <w:lang w:val="en-US" w:eastAsia="zh-CN" w:bidi="ar-SA"/>
          <w14:textFill>
            <w14:solidFill>
              <w14:schemeClr w14:val="tx1"/>
            </w14:solidFill>
          </w14:textFill>
        </w:rPr>
        <w:t>18</w:t>
      </w: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时</w:t>
      </w:r>
      <w:r>
        <w:rPr>
          <w:rFonts w:hint="eastAsia" w:ascii="宋体" w:hAnsi="宋体" w:eastAsia="宋体" w:cs="宋体"/>
          <w:color w:val="000000" w:themeColor="text1"/>
          <w:kern w:val="2"/>
          <w:sz w:val="32"/>
          <w:szCs w:val="32"/>
          <w:u w:val="none" w:color="auto"/>
          <w:lang w:val="en-US" w:eastAsia="zh-CN" w:bidi="ar-SA"/>
          <w14:textFill>
            <w14:solidFill>
              <w14:schemeClr w14:val="tx1"/>
            </w14:solidFill>
          </w14:textFill>
        </w:rPr>
        <w:t>10</w:t>
      </w: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分，谢某涛坠落至地面后，叠合板装配带班王某江立即来到谢某涛落地位置，对谢某涛进行心腹复苏。</w:t>
      </w:r>
      <w:r>
        <w:rPr>
          <w:rFonts w:hint="eastAsia" w:ascii="宋体" w:hAnsi="宋体" w:eastAsia="宋体" w:cs="宋体"/>
          <w:color w:val="000000" w:themeColor="text1"/>
          <w:kern w:val="2"/>
          <w:sz w:val="32"/>
          <w:szCs w:val="32"/>
          <w:u w:val="none" w:color="auto"/>
          <w:lang w:val="en-US" w:eastAsia="zh-CN" w:bidi="ar-SA"/>
          <w14:textFill>
            <w14:solidFill>
              <w14:schemeClr w14:val="tx1"/>
            </w14:solidFill>
          </w14:textFill>
        </w:rPr>
        <w:t>18</w:t>
      </w: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时</w:t>
      </w:r>
      <w:r>
        <w:rPr>
          <w:rFonts w:hint="eastAsia" w:ascii="宋体" w:hAnsi="宋体" w:eastAsia="宋体" w:cs="宋体"/>
          <w:color w:val="000000" w:themeColor="text1"/>
          <w:kern w:val="2"/>
          <w:sz w:val="32"/>
          <w:szCs w:val="32"/>
          <w:u w:val="none" w:color="auto"/>
          <w:lang w:val="en-US" w:eastAsia="zh-CN" w:bidi="ar-SA"/>
          <w14:textFill>
            <w14:solidFill>
              <w14:schemeClr w14:val="tx1"/>
            </w14:solidFill>
          </w14:textFill>
        </w:rPr>
        <w:t>18</w:t>
      </w: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分，</w:t>
      </w:r>
      <w:r>
        <w:rPr>
          <w:rFonts w:hint="eastAsia" w:ascii="宋体" w:hAnsi="宋体" w:eastAsia="宋体" w:cs="宋体"/>
          <w:color w:val="000000" w:themeColor="text1"/>
          <w:kern w:val="2"/>
          <w:sz w:val="32"/>
          <w:szCs w:val="32"/>
          <w:u w:val="none" w:color="auto"/>
          <w:lang w:val="en-US" w:eastAsia="zh-CN" w:bidi="ar-SA"/>
          <w14:textFill>
            <w14:solidFill>
              <w14:schemeClr w14:val="tx1"/>
            </w14:solidFill>
          </w14:textFill>
        </w:rPr>
        <w:t>120</w:t>
      </w: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急救人员抵达现场将谢某涛送往武汉市普仁医院抢救。</w:t>
      </w:r>
    </w:p>
    <w:bookmarkEnd w:id="40"/>
    <w:bookmarkEnd w:id="41"/>
    <w:p w14:paraId="14013746">
      <w:pPr>
        <w:pStyle w:val="10"/>
        <w:keepNext w:val="0"/>
        <w:keepLines w:val="0"/>
        <w:pageBreakBefore w:val="0"/>
        <w:widowControl w:val="0"/>
        <w:kinsoku/>
        <w:wordWrap/>
        <w:overflowPunct/>
        <w:autoSpaceDE/>
        <w:autoSpaceDN/>
        <w:bidi w:val="0"/>
        <w:spacing w:line="560" w:lineRule="exact"/>
        <w:ind w:left="0" w:leftChars="0" w:firstLine="643" w:firstLineChars="200"/>
        <w:jc w:val="both"/>
        <w:textAlignment w:val="auto"/>
        <w:outlineLvl w:val="1"/>
        <w:rPr>
          <w:rFonts w:hint="eastAsia" w:ascii="楷体_GB2312" w:hAnsi="楷体_GB2312" w:eastAsia="楷体_GB2312" w:cs="楷体_GB2312"/>
          <w:b/>
          <w:bCs/>
          <w:sz w:val="32"/>
          <w:szCs w:val="32"/>
          <w:lang w:val="en-US" w:eastAsia="zh-CN"/>
        </w:rPr>
      </w:pPr>
      <w:bookmarkStart w:id="42" w:name="_Toc8045"/>
      <w:r>
        <w:rPr>
          <w:rFonts w:hint="eastAsia" w:ascii="楷体_GB2312" w:hAnsi="楷体_GB2312" w:eastAsia="楷体_GB2312" w:cs="楷体_GB2312"/>
          <w:b/>
          <w:bCs/>
          <w:sz w:val="32"/>
          <w:szCs w:val="32"/>
          <w:lang w:val="en-US" w:eastAsia="zh-CN"/>
        </w:rPr>
        <w:t>（三）事故应急处置评估</w:t>
      </w:r>
      <w:bookmarkEnd w:id="42"/>
    </w:p>
    <w:p w14:paraId="5C5B0DFF">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经事故调查组对事故应急处置复盘评估认为，事故发生后</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120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急救中心、区公安分局、区应急管理局、区资建局、红卫路街道办事处等单位接报后，迅速组织人员赶赴现场处置，响应及时，分工明确，措施得当，处置稳妥，对相关信息报送及时准确，善后工作开展有序。</w:t>
      </w:r>
    </w:p>
    <w:p w14:paraId="69ABF518">
      <w:pPr>
        <w:pStyle w:val="8"/>
        <w:keepNext w:val="0"/>
        <w:keepLines w:val="0"/>
        <w:pageBreakBefore w:val="0"/>
        <w:widowControl w:val="0"/>
        <w:kinsoku/>
        <w:wordWrap/>
        <w:overflowPunct/>
        <w:autoSpaceDE/>
        <w:autoSpaceDN/>
        <w:bidi w:val="0"/>
        <w:spacing w:line="560" w:lineRule="exact"/>
        <w:ind w:firstLine="640" w:firstLineChars="200"/>
        <w:jc w:val="both"/>
        <w:textAlignment w:val="auto"/>
        <w:outlineLvl w:val="0"/>
        <w:rPr>
          <w:rFonts w:hint="default" w:ascii="黑体" w:hAnsi="黑体" w:eastAsia="黑体" w:cs="黑体"/>
          <w:sz w:val="32"/>
          <w:szCs w:val="32"/>
          <w:lang w:val="en-US" w:eastAsia="zh-CN"/>
        </w:rPr>
      </w:pPr>
      <w:bookmarkStart w:id="43" w:name="_Toc32712"/>
      <w:r>
        <w:rPr>
          <w:rFonts w:hint="eastAsia" w:ascii="黑体" w:hAnsi="黑体" w:eastAsia="黑体" w:cs="黑体"/>
          <w:sz w:val="32"/>
          <w:szCs w:val="32"/>
          <w:lang w:val="en-US" w:eastAsia="zh-CN"/>
        </w:rPr>
        <w:t>三、事故原因分析</w:t>
      </w:r>
      <w:bookmarkEnd w:id="43"/>
    </w:p>
    <w:p w14:paraId="0CD4A690">
      <w:pPr>
        <w:pStyle w:val="10"/>
        <w:keepNext w:val="0"/>
        <w:keepLines w:val="0"/>
        <w:pageBreakBefore w:val="0"/>
        <w:widowControl w:val="0"/>
        <w:kinsoku/>
        <w:wordWrap/>
        <w:overflowPunct/>
        <w:autoSpaceDE/>
        <w:autoSpaceDN/>
        <w:bidi w:val="0"/>
        <w:spacing w:line="560" w:lineRule="exact"/>
        <w:ind w:left="0" w:leftChars="0" w:firstLine="643" w:firstLineChars="200"/>
        <w:jc w:val="both"/>
        <w:textAlignment w:val="auto"/>
        <w:outlineLvl w:val="1"/>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44" w:name="_Toc27028"/>
      <w:r>
        <w:rPr>
          <w:rFonts w:hint="eastAsia" w:ascii="楷体_GB2312" w:hAnsi="楷体_GB2312" w:eastAsia="楷体_GB2312" w:cs="楷体_GB2312"/>
          <w:b/>
          <w:bCs/>
          <w:sz w:val="32"/>
          <w:szCs w:val="32"/>
          <w:lang w:val="en-US" w:eastAsia="zh-CN"/>
        </w:rPr>
        <w:t>（一）直接原因分析</w:t>
      </w:r>
      <w:bookmarkEnd w:id="44"/>
    </w:p>
    <w:p w14:paraId="405472F2">
      <w:pPr>
        <w:keepNext w:val="0"/>
        <w:keepLines w:val="0"/>
        <w:pageBreakBefore w:val="0"/>
        <w:widowControl w:val="0"/>
        <w:suppressAutoHyphens/>
        <w:kinsoku/>
        <w:wordWrap/>
        <w:overflowPunct/>
        <w:autoSpaceDE/>
        <w:autoSpaceDN/>
        <w:bidi w:val="0"/>
        <w:adjustRightInd w:val="0"/>
        <w:spacing w:line="560" w:lineRule="exact"/>
        <w:ind w:firstLine="640" w:firstLineChars="20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通过对事故现场进行勘察、对视频监控进行调阅、对人员进行询问，认定事故的直接原因是：谢某涛在不具备起重机械信号司索资质</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2"/>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的情况下挂钩叠合板并指挥吊装作业，被上升的叠合板挂住衣服带至高空坠落受伤；何某平在明知发出吊装信号指令的人员并非</w:t>
      </w:r>
      <w:r>
        <w:rPr>
          <w:rFonts w:hint="eastAsia" w:ascii="仿宋_GB2312" w:hAnsi="仿宋_GB2312" w:eastAsia="仿宋_GB2312" w:cs="仿宋_GB2312"/>
          <w:color w:val="000000" w:themeColor="text1"/>
          <w:kern w:val="2"/>
          <w:sz w:val="32"/>
          <w:szCs w:val="32"/>
          <w:u w:val="none"/>
          <w:lang w:val="en-US" w:eastAsia="zh-CN" w:bidi="ar-SA"/>
          <w14:textFill>
            <w14:solidFill>
              <w14:schemeClr w14:val="tx1"/>
            </w14:solidFill>
          </w14:textFill>
        </w:rPr>
        <w:t>建筑起重机械信号司索工的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情况下，仍违章操作吊装叠合板</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3"/>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，上升的叠合板将谢某涛带至高处坠落受伤。</w:t>
      </w:r>
    </w:p>
    <w:p w14:paraId="4425FDDC">
      <w:pPr>
        <w:pStyle w:val="10"/>
        <w:keepNext w:val="0"/>
        <w:keepLines w:val="0"/>
        <w:pageBreakBefore w:val="0"/>
        <w:widowControl w:val="0"/>
        <w:kinsoku/>
        <w:wordWrap/>
        <w:overflowPunct/>
        <w:autoSpaceDE/>
        <w:autoSpaceDN/>
        <w:bidi w:val="0"/>
        <w:spacing w:line="560" w:lineRule="exact"/>
        <w:ind w:left="0" w:leftChars="0" w:firstLine="643" w:firstLineChars="200"/>
        <w:jc w:val="both"/>
        <w:textAlignment w:val="auto"/>
        <w:outlineLvl w:val="1"/>
        <w:rPr>
          <w:rFonts w:hint="eastAsia" w:ascii="楷体_GB2312" w:hAnsi="楷体_GB2312" w:eastAsia="楷体_GB2312" w:cs="楷体_GB2312"/>
          <w:b/>
          <w:bCs/>
          <w:sz w:val="32"/>
          <w:szCs w:val="32"/>
          <w:lang w:val="en-US" w:eastAsia="zh-CN"/>
        </w:rPr>
      </w:pPr>
      <w:bookmarkStart w:id="45" w:name="_Toc9607"/>
      <w:r>
        <w:rPr>
          <w:rFonts w:hint="eastAsia" w:ascii="楷体_GB2312" w:hAnsi="楷体_GB2312" w:eastAsia="楷体_GB2312" w:cs="楷体_GB2312"/>
          <w:b/>
          <w:bCs/>
          <w:sz w:val="32"/>
          <w:szCs w:val="32"/>
          <w:lang w:val="en-US" w:eastAsia="zh-CN"/>
        </w:rPr>
        <w:t>（二）间接原因分析</w:t>
      </w:r>
      <w:bookmarkEnd w:id="45"/>
    </w:p>
    <w:p w14:paraId="2FAB3054">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宋体" w:hAnsi="宋体" w:eastAsia="宋体" w:cs="宋体"/>
          <w:color w:val="000000" w:themeColor="text1"/>
          <w:sz w:val="32"/>
          <w:szCs w:val="32"/>
          <w:lang w:val="en-US" w:eastAsia="zh-CN"/>
          <w14:textFill>
            <w14:solidFill>
              <w14:schemeClr w14:val="tx1"/>
            </w14:solidFill>
          </w14:textFill>
        </w:rPr>
        <w:t>1</w:t>
      </w:r>
      <w:r>
        <w:rPr>
          <w:rFonts w:hint="eastAsia" w:ascii="仿宋_GB2312" w:hAnsi="仿宋_GB2312" w:eastAsia="宋体" w:cs="仿宋_GB2312"/>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坤建劳务公司安排</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不具备起重机械司索资质的谢某涛从事吊装挂钩作业，</w:t>
      </w:r>
      <w:r>
        <w:rPr>
          <w:rFonts w:hint="eastAsia" w:ascii="仿宋_GB2312" w:hAnsi="仿宋_GB2312" w:eastAsia="仿宋_GB2312" w:cs="仿宋_GB2312"/>
          <w:color w:val="000000" w:themeColor="text1"/>
          <w:kern w:val="2"/>
          <w:sz w:val="32"/>
          <w:szCs w:val="32"/>
          <w:highlight w:val="none"/>
          <w:u w:val="none"/>
          <w:lang w:val="en-US" w:eastAsia="zh-CN" w:bidi="ar-SA"/>
          <w14:textFill>
            <w14:solidFill>
              <w14:schemeClr w14:val="tx1"/>
            </w14:solidFill>
          </w14:textFill>
        </w:rPr>
        <w:t>未配备项目专职安全生产管理人员进行管理</w:t>
      </w:r>
      <w:r>
        <w:rPr>
          <w:rStyle w:val="16"/>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footnoteReference w:id="4"/>
      </w:r>
      <w:r>
        <w:rPr>
          <w:rStyle w:val="16"/>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未能保证谢某涛具备必要的安全生产知识</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5"/>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，未能及时发现谢某涛多次违规进行吊装挂钩、指挥的行为并消除事故隐患</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6"/>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p>
    <w:p w14:paraId="69EDF93F">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default" w:ascii="仿宋_GB2312" w:hAnsi="仿宋_GB2312" w:eastAsia="宋体" w:cs="仿宋_GB2312"/>
          <w:color w:val="000000" w:themeColor="text1"/>
          <w:sz w:val="32"/>
          <w:szCs w:val="32"/>
          <w:lang w:val="en-US" w:eastAsia="zh-CN"/>
          <w14:textFill>
            <w14:solidFill>
              <w14:schemeClr w14:val="tx1"/>
            </w14:solidFill>
          </w14:textFill>
        </w:rPr>
      </w:pPr>
      <w:r>
        <w:rPr>
          <w:rFonts w:hint="eastAsia" w:ascii="宋体" w:hAnsi="宋体" w:eastAsia="宋体" w:cs="宋体"/>
          <w:color w:val="000000" w:themeColor="text1"/>
          <w:sz w:val="32"/>
          <w:szCs w:val="32"/>
          <w:lang w:val="en-US" w:eastAsia="zh-CN"/>
          <w14:textFill>
            <w14:solidFill>
              <w14:schemeClr w14:val="tx1"/>
            </w14:solidFill>
          </w14:textFill>
        </w:rPr>
        <w:t>2</w:t>
      </w:r>
      <w:r>
        <w:rPr>
          <w:rFonts w:hint="eastAsia" w:ascii="仿宋_GB2312" w:hAnsi="仿宋_GB2312" w:eastAsia="宋体" w:cs="仿宋_GB2312"/>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天晟达劳务公司</w:t>
      </w:r>
      <w:r>
        <w:rPr>
          <w:rFonts w:hint="eastAsia" w:ascii="仿宋_GB2312" w:hAnsi="仿宋_GB2312" w:eastAsia="仿宋_GB2312" w:cs="仿宋_GB2312"/>
          <w:color w:val="000000" w:themeColor="text1"/>
          <w:kern w:val="2"/>
          <w:sz w:val="32"/>
          <w:szCs w:val="32"/>
          <w:highlight w:val="none"/>
          <w:u w:val="none"/>
          <w:lang w:val="en-US" w:eastAsia="zh-CN" w:bidi="ar-SA"/>
          <w14:textFill>
            <w14:solidFill>
              <w14:schemeClr w14:val="tx1"/>
            </w14:solidFill>
          </w14:textFill>
        </w:rPr>
        <w:t>未配备项目专职安全生产管理人员进行管理</w:t>
      </w:r>
      <w:r>
        <w:rPr>
          <w:rStyle w:val="16"/>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footnoteReference w:id="7"/>
      </w:r>
      <w:r>
        <w:rPr>
          <w:rStyle w:val="16"/>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，未能保证何某平具备必要的安全生产知识</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8"/>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，未能及时发现</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何某平</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多次违章吊装的行为并消除事故隐患</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9"/>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宋体" w:cs="仿宋_GB2312"/>
          <w:color w:val="000000" w:themeColor="text1"/>
          <w:sz w:val="32"/>
          <w:szCs w:val="32"/>
          <w:lang w:val="en-US" w:eastAsia="zh-CN"/>
          <w14:textFill>
            <w14:solidFill>
              <w14:schemeClr w14:val="tx1"/>
            </w14:solidFill>
          </w14:textFill>
        </w:rPr>
        <w:t xml:space="preserve">                                                                                                                                                     </w:t>
      </w:r>
    </w:p>
    <w:p w14:paraId="6806F448">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宋体" w:hAnsi="宋体" w:eastAsia="宋体" w:cs="宋体"/>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欣易彩建筑公司督促作业人员落实</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工程</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建设</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规章制度和操</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作</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规程</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不到位</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10"/>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，未能发现并及时督促</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坤建劳</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务公司</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整改</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谢某涛多次违规进行吊装挂钩、指挥的事故隐患，未能发现并及时督促</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天晟达劳务公司</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整改</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何某平</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多次违章吊装的事故隐患</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11"/>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p>
    <w:p w14:paraId="581210C7">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4</w:t>
      </w:r>
      <w:r>
        <w:rPr>
          <w:rFonts w:hint="eastAsia" w:ascii="仿宋_GB2312" w:hAnsi="仿宋_GB2312" w:eastAsia="仿宋_GB2312" w:cs="仿宋_GB2312"/>
          <w:color w:val="000000" w:themeColor="text1"/>
          <w:kern w:val="2"/>
          <w:sz w:val="32"/>
          <w:szCs w:val="32"/>
          <w:highlight w:val="none"/>
          <w:u w:val="none" w:color="auto"/>
          <w:lang w:val="en-US" w:eastAsia="zh-CN" w:bidi="ar-SA"/>
          <w14:textFill>
            <w14:solidFill>
              <w14:schemeClr w14:val="tx1"/>
            </w14:solidFill>
          </w14:textFill>
        </w:rPr>
        <w:t>.庞源机械公司将塔吊作业劳务发包给不具备</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施工劳务资质</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的</w:t>
      </w:r>
      <w:r>
        <w:rPr>
          <w:rFonts w:hint="eastAsia" w:ascii="仿宋_GB2312" w:hAnsi="仿宋_GB2312" w:eastAsia="仿宋_GB2312" w:cs="仿宋_GB2312"/>
          <w:color w:val="000000" w:themeColor="text1"/>
          <w:kern w:val="2"/>
          <w:sz w:val="32"/>
          <w:szCs w:val="32"/>
          <w:u w:val="none"/>
          <w:lang w:val="en-US" w:eastAsia="zh-CN" w:bidi="ar-SA"/>
          <w14:textFill>
            <w14:solidFill>
              <w14:schemeClr w14:val="tx1"/>
            </w14:solidFill>
          </w14:textFill>
        </w:rPr>
        <w:t>天晟达劳务公司</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12"/>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kern w:val="2"/>
          <w:sz w:val="32"/>
          <w:szCs w:val="32"/>
          <w:u w:val="none"/>
          <w:lang w:val="en-US" w:eastAsia="zh-CN" w:bidi="ar-SA"/>
          <w14:textFill>
            <w14:solidFill>
              <w14:schemeClr w14:val="tx1"/>
            </w14:solidFill>
          </w14:textFill>
        </w:rPr>
        <w:t>，未配备项目专职安全生产管理人员进行管理</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13"/>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，未能发现并及时</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督促</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天晟达劳务公司</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整改</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何某平</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多次违章吊装的事故隐患</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14"/>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p>
    <w:p w14:paraId="763CD604">
      <w:pPr>
        <w:pStyle w:val="8"/>
        <w:keepNext w:val="0"/>
        <w:keepLines w:val="0"/>
        <w:pageBreakBefore w:val="0"/>
        <w:widowControl w:val="0"/>
        <w:kinsoku/>
        <w:wordWrap/>
        <w:overflowPunct/>
        <w:autoSpaceDE/>
        <w:autoSpaceDN/>
        <w:bidi w:val="0"/>
        <w:spacing w:line="560" w:lineRule="exact"/>
        <w:ind w:firstLine="640" w:firstLineChars="200"/>
        <w:jc w:val="both"/>
        <w:textAlignment w:val="auto"/>
        <w:outlineLvl w:val="0"/>
        <w:rPr>
          <w:rFonts w:hint="default" w:ascii="黑体" w:hAnsi="黑体" w:eastAsia="黑体" w:cs="黑体"/>
          <w:sz w:val="32"/>
          <w:szCs w:val="32"/>
          <w:lang w:val="en-US" w:eastAsia="zh-CN"/>
        </w:rPr>
      </w:pPr>
      <w:bookmarkStart w:id="46" w:name="_Toc30682"/>
      <w:r>
        <w:rPr>
          <w:rFonts w:hint="eastAsia" w:ascii="宋体" w:hAnsi="宋体" w:eastAsia="宋体" w:cs="宋体"/>
          <w:sz w:val="32"/>
          <w:szCs w:val="32"/>
          <w:lang w:val="en-US" w:eastAsia="zh-CN"/>
        </w:rPr>
        <w:t>5</w:t>
      </w:r>
      <w:r>
        <w:rPr>
          <w:rFonts w:hint="eastAsia" w:ascii="黑体" w:hAnsi="黑体" w:eastAsia="黑体" w:cs="黑体"/>
          <w:sz w:val="32"/>
          <w:szCs w:val="32"/>
          <w:lang w:val="en-US" w:eastAsia="zh-CN"/>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青山监理公司未严格</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审核</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天晟达劳务公司劳务资格</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15"/>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谢某涛多次违规吊装挂钩作业的事故隐患监督整改不严</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16"/>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bookmarkEnd w:id="46"/>
    </w:p>
    <w:p w14:paraId="022752CF">
      <w:pPr>
        <w:pStyle w:val="8"/>
        <w:keepNext w:val="0"/>
        <w:keepLines w:val="0"/>
        <w:pageBreakBefore w:val="0"/>
        <w:widowControl w:val="0"/>
        <w:kinsoku/>
        <w:wordWrap/>
        <w:overflowPunct/>
        <w:autoSpaceDE/>
        <w:autoSpaceDN/>
        <w:bidi w:val="0"/>
        <w:spacing w:line="560" w:lineRule="exact"/>
        <w:ind w:firstLine="640" w:firstLineChars="200"/>
        <w:jc w:val="both"/>
        <w:textAlignment w:val="auto"/>
        <w:outlineLvl w:val="0"/>
        <w:rPr>
          <w:rFonts w:hint="eastAsia" w:ascii="黑体" w:hAnsi="黑体" w:eastAsia="黑体" w:cs="黑体"/>
          <w:sz w:val="32"/>
          <w:szCs w:val="32"/>
          <w:lang w:val="en-US" w:eastAsia="zh-CN"/>
        </w:rPr>
      </w:pPr>
      <w:bookmarkStart w:id="47" w:name="_Toc22479"/>
      <w:r>
        <w:rPr>
          <w:rFonts w:hint="eastAsia" w:ascii="黑体" w:hAnsi="黑体" w:eastAsia="黑体" w:cs="黑体"/>
          <w:sz w:val="32"/>
          <w:szCs w:val="32"/>
          <w:lang w:val="en-US" w:eastAsia="zh-CN"/>
        </w:rPr>
        <w:t>四、有关责任单位存在的主要问题</w:t>
      </w:r>
      <w:bookmarkEnd w:id="47"/>
    </w:p>
    <w:p w14:paraId="08327F07">
      <w:pPr>
        <w:pStyle w:val="10"/>
        <w:keepNext w:val="0"/>
        <w:keepLines w:val="0"/>
        <w:pageBreakBefore w:val="0"/>
        <w:widowControl w:val="0"/>
        <w:kinsoku/>
        <w:wordWrap/>
        <w:overflowPunct/>
        <w:topLinePunct w:val="0"/>
        <w:autoSpaceDE/>
        <w:autoSpaceDN/>
        <w:bidi w:val="0"/>
        <w:snapToGrid/>
        <w:spacing w:line="560" w:lineRule="exact"/>
        <w:ind w:left="0" w:leftChars="0" w:firstLine="643" w:firstLineChars="200"/>
        <w:jc w:val="both"/>
        <w:textAlignment w:val="auto"/>
        <w:outlineLvl w:val="1"/>
        <w:rPr>
          <w:rFonts w:hint="default" w:ascii="楷体_GB2312" w:hAnsi="楷体_GB2312" w:eastAsia="楷体_GB2312" w:cs="楷体_GB2312"/>
          <w:b/>
          <w:bCs/>
          <w:sz w:val="32"/>
          <w:szCs w:val="32"/>
          <w:lang w:val="en-US" w:eastAsia="zh-CN"/>
        </w:rPr>
      </w:pPr>
      <w:bookmarkStart w:id="48" w:name="_Toc9140"/>
      <w:bookmarkStart w:id="49" w:name="_Toc14040"/>
      <w:r>
        <w:rPr>
          <w:rFonts w:hint="eastAsia" w:ascii="楷体_GB2312" w:hAnsi="楷体_GB2312" w:eastAsia="楷体_GB2312" w:cs="楷体_GB2312"/>
          <w:b/>
          <w:bCs/>
          <w:sz w:val="32"/>
          <w:szCs w:val="32"/>
          <w:lang w:val="en-US" w:eastAsia="zh-CN"/>
        </w:rPr>
        <w:t>（一）事故单位</w:t>
      </w:r>
      <w:bookmarkEnd w:id="48"/>
      <w:bookmarkEnd w:id="49"/>
    </w:p>
    <w:p w14:paraId="41ED8493">
      <w:pPr>
        <w:pStyle w:val="8"/>
        <w:keepNext w:val="0"/>
        <w:keepLines w:val="0"/>
        <w:pageBreakBefore w:val="0"/>
        <w:widowControl w:val="0"/>
        <w:kinsoku/>
        <w:wordWrap/>
        <w:overflowPunct/>
        <w:autoSpaceDE/>
        <w:autoSpaceDN/>
        <w:bidi w:val="0"/>
        <w:spacing w:line="560" w:lineRule="exact"/>
        <w:ind w:firstLine="640" w:firstLineChars="200"/>
        <w:jc w:val="both"/>
        <w:textAlignment w:val="auto"/>
        <w:outlineLvl w:val="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bookmarkStart w:id="50" w:name="_Toc20980"/>
      <w:r>
        <w:rPr>
          <w:rFonts w:hint="eastAsia" w:ascii="宋体" w:hAnsi="宋体" w:eastAsia="宋体" w:cs="宋体"/>
          <w:color w:val="000000" w:themeColor="text1"/>
          <w:kern w:val="2"/>
          <w:sz w:val="32"/>
          <w:szCs w:val="32"/>
          <w:highlight w:val="none"/>
          <w:lang w:val="en-US" w:eastAsia="zh-CN" w:bidi="ar-SA"/>
          <w14:textFill>
            <w14:solidFill>
              <w14:schemeClr w14:val="tx1"/>
            </w14:solidFill>
          </w14:textFill>
        </w:rPr>
        <w:t>1</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.坤建劳务公司未配备项目专职安全生产管理人员，安排不具备建筑施工特种作业资格的人员实施特种作业，安全生产教育培训不到位，从业人员存在违规作业行为。</w:t>
      </w:r>
      <w:bookmarkEnd w:id="50"/>
    </w:p>
    <w:p w14:paraId="28CA9DF0">
      <w:pPr>
        <w:pStyle w:val="8"/>
        <w:keepNext w:val="0"/>
        <w:keepLines w:val="0"/>
        <w:pageBreakBefore w:val="0"/>
        <w:widowControl w:val="0"/>
        <w:kinsoku/>
        <w:wordWrap/>
        <w:overflowPunct/>
        <w:autoSpaceDE/>
        <w:autoSpaceDN/>
        <w:bidi w:val="0"/>
        <w:spacing w:line="560" w:lineRule="exact"/>
        <w:ind w:firstLine="640" w:firstLineChars="200"/>
        <w:jc w:val="both"/>
        <w:textAlignment w:val="auto"/>
        <w:outlineLvl w:val="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bookmarkStart w:id="51" w:name="_Toc31019"/>
      <w:r>
        <w:rPr>
          <w:rFonts w:hint="eastAsia" w:ascii="宋体" w:hAnsi="宋体" w:eastAsia="宋体" w:cs="宋体"/>
          <w:color w:val="000000" w:themeColor="text1"/>
          <w:kern w:val="2"/>
          <w:sz w:val="32"/>
          <w:szCs w:val="32"/>
          <w:highlight w:val="none"/>
          <w:lang w:val="en-US" w:eastAsia="zh-CN" w:bidi="ar-SA"/>
          <w14:textFill>
            <w14:solidFill>
              <w14:schemeClr w14:val="tx1"/>
            </w14:solidFill>
          </w14:textFill>
        </w:rPr>
        <w:t>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.天晟达劳务公司在不具备</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建筑业企业施工劳务资质的情况下承接劳务项目，</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未配备项目专职安全生产管理人员，安全生产教育培训不到位，从业人员存在违章作业行为。</w:t>
      </w:r>
      <w:bookmarkEnd w:id="51"/>
    </w:p>
    <w:p w14:paraId="2FE3F3F8">
      <w:pPr>
        <w:pStyle w:val="8"/>
        <w:keepNext w:val="0"/>
        <w:keepLines w:val="0"/>
        <w:pageBreakBefore w:val="0"/>
        <w:widowControl w:val="0"/>
        <w:kinsoku/>
        <w:wordWrap/>
        <w:overflowPunct/>
        <w:autoSpaceDE/>
        <w:autoSpaceDN/>
        <w:bidi w:val="0"/>
        <w:spacing w:line="560" w:lineRule="exact"/>
        <w:ind w:firstLine="640" w:firstLineChars="200"/>
        <w:jc w:val="both"/>
        <w:textAlignment w:val="auto"/>
        <w:outlineLvl w:val="0"/>
        <w:rPr>
          <w:rFonts w:hint="default" w:ascii="黑体" w:hAnsi="黑体" w:eastAsia="黑体" w:cs="黑体"/>
          <w:sz w:val="32"/>
          <w:szCs w:val="32"/>
          <w:lang w:val="en-US" w:eastAsia="zh-CN"/>
        </w:rPr>
      </w:pPr>
      <w:bookmarkStart w:id="52" w:name="_Toc30290"/>
      <w:r>
        <w:rPr>
          <w:rFonts w:hint="eastAsia" w:ascii="宋体" w:hAnsi="宋体" w:eastAsia="宋体" w:cs="宋体"/>
          <w:color w:val="000000" w:themeColor="text1"/>
          <w:kern w:val="2"/>
          <w:sz w:val="32"/>
          <w:szCs w:val="32"/>
          <w:highlight w:val="none"/>
          <w:lang w:val="en-US" w:eastAsia="zh-CN" w:bidi="ar-SA"/>
          <w14:textFill>
            <w14:solidFill>
              <w14:schemeClr w14:val="tx1"/>
            </w14:solidFill>
          </w14:textFill>
        </w:rPr>
        <w:t>3</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.欣易彩建筑公司安全生产教育培训不到位，项目作业人员存在违规违章作业行为；安全生产统一协调、管理不到位，未及时督促承包、承租单位整改事故隐患。</w:t>
      </w:r>
      <w:bookmarkEnd w:id="52"/>
    </w:p>
    <w:p w14:paraId="2A12635D">
      <w:pPr>
        <w:pStyle w:val="8"/>
        <w:keepNext w:val="0"/>
        <w:keepLines w:val="0"/>
        <w:pageBreakBefore w:val="0"/>
        <w:widowControl w:val="0"/>
        <w:kinsoku/>
        <w:wordWrap/>
        <w:overflowPunct/>
        <w:autoSpaceDE/>
        <w:autoSpaceDN/>
        <w:bidi w:val="0"/>
        <w:spacing w:line="560" w:lineRule="exact"/>
        <w:ind w:firstLine="640" w:firstLineChars="200"/>
        <w:jc w:val="both"/>
        <w:textAlignment w:val="auto"/>
        <w:outlineLvl w:val="0"/>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bookmarkStart w:id="53" w:name="_Toc20779"/>
      <w:r>
        <w:rPr>
          <w:rFonts w:hint="eastAsia" w:ascii="宋体" w:hAnsi="宋体" w:eastAsia="宋体" w:cs="宋体"/>
          <w:sz w:val="32"/>
          <w:szCs w:val="32"/>
          <w:lang w:val="en-US" w:eastAsia="zh-CN"/>
        </w:rPr>
        <w:t>4</w:t>
      </w:r>
      <w:r>
        <w:rPr>
          <w:rFonts w:hint="eastAsia" w:ascii="黑体" w:hAnsi="黑体" w:eastAsia="黑体" w:cs="黑体"/>
          <w:sz w:val="32"/>
          <w:szCs w:val="32"/>
          <w:lang w:val="en-US" w:eastAsia="zh-CN"/>
        </w:rPr>
        <w:t>.</w:t>
      </w:r>
      <w:r>
        <w:rPr>
          <w:rFonts w:hint="eastAsia" w:ascii="仿宋_GB2312" w:hAnsi="仿宋_GB2312" w:eastAsia="仿宋_GB2312" w:cs="仿宋_GB2312"/>
          <w:color w:val="000000" w:themeColor="text1"/>
          <w:kern w:val="2"/>
          <w:sz w:val="32"/>
          <w:szCs w:val="32"/>
          <w:highlight w:val="none"/>
          <w:u w:val="none" w:color="auto"/>
          <w:lang w:val="en-US" w:eastAsia="zh-CN" w:bidi="ar-SA"/>
          <w14:textFill>
            <w14:solidFill>
              <w14:schemeClr w14:val="tx1"/>
            </w14:solidFill>
          </w14:textFill>
        </w:rPr>
        <w:t>庞源机械公司将塔吊劳务分包给</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不具备</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建筑业企业施工劳务资质的承包单位</w:t>
      </w:r>
      <w:r>
        <w:rPr>
          <w:rFonts w:hint="eastAsia" w:ascii="仿宋_GB2312" w:hAnsi="仿宋_GB2312" w:eastAsia="仿宋_GB2312" w:cs="仿宋_GB2312"/>
          <w:color w:val="000000" w:themeColor="text1"/>
          <w:kern w:val="2"/>
          <w:sz w:val="32"/>
          <w:szCs w:val="32"/>
          <w:highlight w:val="none"/>
          <w:u w:val="none" w:color="auto"/>
          <w:lang w:val="en-US" w:eastAsia="zh-CN" w:bidi="ar-SA"/>
          <w14:textFill>
            <w14:solidFill>
              <w14:schemeClr w14:val="tx1"/>
            </w14:solidFill>
          </w14:textFill>
        </w:rPr>
        <w:t>，</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安全生产统一协调、管理不到位，未及时督促承包单位整改事故隐患</w:t>
      </w:r>
      <w:r>
        <w:rPr>
          <w:rFonts w:hint="eastAsia" w:ascii="仿宋_GB2312" w:hAnsi="仿宋_GB2312" w:eastAsia="仿宋_GB2312" w:cs="仿宋_GB2312"/>
          <w:color w:val="000000" w:themeColor="text1"/>
          <w:kern w:val="2"/>
          <w:sz w:val="32"/>
          <w:szCs w:val="32"/>
          <w:u w:val="none"/>
          <w:lang w:val="en-US" w:eastAsia="zh-CN" w:bidi="ar-SA"/>
          <w14:textFill>
            <w14:solidFill>
              <w14:schemeClr w14:val="tx1"/>
            </w14:solidFill>
          </w14:textFill>
        </w:rPr>
        <w:t>，未配备项目专职安全生产管理人员进行管理</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w:t>
      </w:r>
      <w:bookmarkEnd w:id="53"/>
    </w:p>
    <w:p w14:paraId="15D13B7A">
      <w:pPr>
        <w:pStyle w:val="8"/>
        <w:keepNext w:val="0"/>
        <w:keepLines w:val="0"/>
        <w:pageBreakBefore w:val="0"/>
        <w:widowControl w:val="0"/>
        <w:kinsoku/>
        <w:wordWrap/>
        <w:overflowPunct/>
        <w:autoSpaceDE/>
        <w:autoSpaceDN/>
        <w:bidi w:val="0"/>
        <w:spacing w:line="560" w:lineRule="exact"/>
        <w:ind w:firstLine="640" w:firstLineChars="200"/>
        <w:jc w:val="both"/>
        <w:textAlignment w:val="auto"/>
        <w:outlineLvl w:val="0"/>
        <w:rPr>
          <w:rFonts w:hint="default" w:ascii="仿宋_GB2312" w:hAnsi="仿宋_GB2312" w:eastAsia="仿宋_GB2312" w:cs="仿宋_GB2312"/>
          <w:color w:val="000000" w:themeColor="text1"/>
          <w:kern w:val="2"/>
          <w:sz w:val="32"/>
          <w:szCs w:val="32"/>
          <w:u w:val="none"/>
          <w:lang w:val="en-US" w:eastAsia="zh-CN" w:bidi="ar-SA"/>
          <w14:textFill>
            <w14:solidFill>
              <w14:schemeClr w14:val="tx1"/>
            </w14:solidFill>
          </w14:textFill>
        </w:rPr>
      </w:pPr>
      <w:bookmarkStart w:id="54" w:name="_Toc2467"/>
      <w:r>
        <w:rPr>
          <w:rFonts w:hint="eastAsia" w:ascii="宋体" w:hAnsi="宋体" w:eastAsia="宋体" w:cs="宋体"/>
          <w:sz w:val="32"/>
          <w:szCs w:val="32"/>
          <w:lang w:val="en-US" w:eastAsia="zh-CN"/>
        </w:rPr>
        <w:t>5</w:t>
      </w:r>
      <w:r>
        <w:rPr>
          <w:rFonts w:hint="eastAsia" w:ascii="黑体" w:hAnsi="黑体" w:eastAsia="黑体" w:cs="黑体"/>
          <w:sz w:val="32"/>
          <w:szCs w:val="32"/>
          <w:lang w:val="en-US" w:eastAsia="zh-CN"/>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青山监理公司未严格</w:t>
      </w:r>
      <w:r>
        <w:rPr>
          <w:rFonts w:hint="eastAsia" w:ascii="仿宋_GB2312" w:hAnsi="仿宋_GB2312" w:eastAsia="仿宋_GB2312" w:cs="仿宋_GB2312"/>
          <w:color w:val="000000" w:themeColor="text1"/>
          <w:kern w:val="2"/>
          <w:sz w:val="32"/>
          <w:szCs w:val="32"/>
          <w:u w:val="none"/>
          <w:lang w:val="en-US" w:eastAsia="zh-CN" w:bidi="ar-SA"/>
          <w14:textFill>
            <w14:solidFill>
              <w14:schemeClr w14:val="tx1"/>
            </w14:solidFill>
          </w14:textFill>
        </w:rPr>
        <w:t>按照监理规范对工程项目安全生产实施有效监理。</w:t>
      </w:r>
      <w:bookmarkEnd w:id="54"/>
    </w:p>
    <w:p w14:paraId="31AF7FBD">
      <w:pPr>
        <w:pStyle w:val="10"/>
        <w:keepNext w:val="0"/>
        <w:keepLines w:val="0"/>
        <w:pageBreakBefore w:val="0"/>
        <w:widowControl w:val="0"/>
        <w:kinsoku/>
        <w:wordWrap/>
        <w:overflowPunct/>
        <w:topLinePunct w:val="0"/>
        <w:autoSpaceDE/>
        <w:autoSpaceDN/>
        <w:bidi w:val="0"/>
        <w:snapToGrid/>
        <w:spacing w:line="560" w:lineRule="exact"/>
        <w:ind w:left="0" w:leftChars="0" w:firstLine="643" w:firstLineChars="200"/>
        <w:jc w:val="both"/>
        <w:textAlignment w:val="auto"/>
        <w:outlineLvl w:val="1"/>
        <w:rPr>
          <w:rFonts w:hint="default" w:ascii="楷体_GB2312" w:hAnsi="楷体_GB2312" w:eastAsia="楷体_GB2312" w:cs="楷体_GB2312"/>
          <w:b/>
          <w:bCs/>
          <w:sz w:val="32"/>
          <w:szCs w:val="32"/>
          <w:lang w:val="en-US" w:eastAsia="zh-CN"/>
        </w:rPr>
      </w:pPr>
      <w:bookmarkStart w:id="55" w:name="_Toc1381"/>
      <w:bookmarkStart w:id="56" w:name="_Toc30245"/>
      <w:r>
        <w:rPr>
          <w:rFonts w:hint="eastAsia" w:ascii="楷体_GB2312" w:hAnsi="楷体_GB2312" w:eastAsia="楷体_GB2312" w:cs="楷体_GB2312"/>
          <w:b/>
          <w:bCs/>
          <w:sz w:val="32"/>
          <w:szCs w:val="32"/>
          <w:lang w:val="en-US" w:eastAsia="zh-CN"/>
        </w:rPr>
        <w:t>（二）有关监管部门</w:t>
      </w:r>
      <w:bookmarkEnd w:id="55"/>
      <w:bookmarkEnd w:id="56"/>
    </w:p>
    <w:p w14:paraId="6C6B91D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kern w:val="2"/>
          <w:sz w:val="32"/>
          <w:szCs w:val="32"/>
          <w:u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u w:val="none"/>
          <w:lang w:val="en-US" w:eastAsia="zh-CN" w:bidi="ar-SA"/>
          <w14:textFill>
            <w14:solidFill>
              <w14:schemeClr w14:val="tx1"/>
            </w14:solidFill>
          </w14:textFill>
        </w:rPr>
        <w:t>区资建局作为全区房建项目安全监管单位，2025年10月至事故发生前，对事故项目共开展安全检查7次，均未发现事故项目吊装过程中长期存在的违规挂钩、指挥、吊装的重大事故隐患，未有效督促参建单位落实从业人员安全教育。</w:t>
      </w:r>
    </w:p>
    <w:p w14:paraId="0D1F424A">
      <w:pPr>
        <w:pStyle w:val="8"/>
        <w:keepNext w:val="0"/>
        <w:keepLines w:val="0"/>
        <w:pageBreakBefore w:val="0"/>
        <w:widowControl w:val="0"/>
        <w:kinsoku/>
        <w:wordWrap/>
        <w:overflowPunct/>
        <w:autoSpaceDE/>
        <w:autoSpaceDN/>
        <w:bidi w:val="0"/>
        <w:spacing w:line="560" w:lineRule="exact"/>
        <w:ind w:firstLine="640" w:firstLineChars="200"/>
        <w:jc w:val="both"/>
        <w:textAlignment w:val="auto"/>
        <w:outlineLvl w:val="0"/>
        <w:rPr>
          <w:rFonts w:hint="eastAsia" w:ascii="黑体" w:hAnsi="黑体" w:eastAsia="黑体" w:cs="黑体"/>
          <w:sz w:val="32"/>
          <w:szCs w:val="32"/>
          <w:lang w:val="en-US" w:eastAsia="zh-CN"/>
        </w:rPr>
      </w:pPr>
      <w:bookmarkStart w:id="57" w:name="_Toc25107"/>
      <w:r>
        <w:rPr>
          <w:rFonts w:hint="eastAsia" w:ascii="黑体" w:hAnsi="黑体" w:eastAsia="黑体" w:cs="黑体"/>
          <w:sz w:val="32"/>
          <w:szCs w:val="32"/>
          <w:lang w:val="en-US" w:eastAsia="zh-CN"/>
        </w:rPr>
        <w:t>五、对有关责任人员和责任单位的处理建议</w:t>
      </w:r>
      <w:bookmarkEnd w:id="57"/>
    </w:p>
    <w:p w14:paraId="0C781056">
      <w:pPr>
        <w:pStyle w:val="10"/>
        <w:keepNext w:val="0"/>
        <w:keepLines w:val="0"/>
        <w:pageBreakBefore w:val="0"/>
        <w:widowControl w:val="0"/>
        <w:kinsoku/>
        <w:wordWrap/>
        <w:overflowPunct/>
        <w:autoSpaceDE/>
        <w:autoSpaceDN/>
        <w:bidi w:val="0"/>
        <w:spacing w:line="560" w:lineRule="exact"/>
        <w:ind w:left="0" w:leftChars="0" w:firstLine="643" w:firstLineChars="200"/>
        <w:jc w:val="both"/>
        <w:textAlignment w:val="auto"/>
        <w:outlineLvl w:val="1"/>
        <w:rPr>
          <w:rFonts w:hint="default" w:ascii="楷体_GB2312" w:hAnsi="楷体_GB2312" w:eastAsia="楷体_GB2312" w:cs="楷体_GB2312"/>
          <w:b/>
          <w:bCs/>
          <w:sz w:val="32"/>
          <w:szCs w:val="32"/>
          <w:lang w:val="en-US" w:eastAsia="zh-CN"/>
        </w:rPr>
      </w:pPr>
      <w:bookmarkStart w:id="58" w:name="_Toc24027"/>
      <w:r>
        <w:rPr>
          <w:rFonts w:hint="eastAsia" w:ascii="楷体_GB2312" w:hAnsi="楷体_GB2312" w:eastAsia="楷体_GB2312" w:cs="楷体_GB2312"/>
          <w:b/>
          <w:bCs/>
          <w:sz w:val="32"/>
          <w:szCs w:val="32"/>
          <w:lang w:val="en-US" w:eastAsia="zh-CN"/>
        </w:rPr>
        <w:t>（一）因在事故中死亡免予追究责任人员</w:t>
      </w:r>
      <w:bookmarkEnd w:id="58"/>
    </w:p>
    <w:p w14:paraId="0DA4BBDD">
      <w:pPr>
        <w:keepNext w:val="0"/>
        <w:keepLines w:val="0"/>
        <w:pageBreakBefore w:val="0"/>
        <w:widowControl w:val="0"/>
        <w:suppressAutoHyphens/>
        <w:kinsoku/>
        <w:wordWrap/>
        <w:overflowPunct/>
        <w:topLinePunct w:val="0"/>
        <w:autoSpaceDE/>
        <w:autoSpaceDN/>
        <w:bidi w:val="0"/>
        <w:adjustRightInd w:val="0"/>
        <w:snapToGrid/>
        <w:spacing w:line="560" w:lineRule="exact"/>
        <w:ind w:firstLine="640" w:firstLineChars="200"/>
        <w:jc w:val="left"/>
        <w:textAlignment w:val="auto"/>
        <w:rPr>
          <w:rFonts w:hint="eastAsia" w:ascii="楷体_GB2312" w:hAnsi="楷体_GB2312" w:eastAsia="楷体_GB2312" w:cs="楷体_GB2312"/>
          <w:b/>
          <w:bCs/>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谢某涛安全意识淡薄，在不具备起重机械信号司索资质的情况下挂钩叠合板并指挥吊装作业，被上升的叠合板挂住衣服带至高空坠落受伤，对事故负有直接责任，因在事故中死亡，根据法律规定，免予追究责任。</w:t>
      </w:r>
    </w:p>
    <w:p w14:paraId="4388F302">
      <w:pPr>
        <w:pStyle w:val="10"/>
        <w:keepNext w:val="0"/>
        <w:keepLines w:val="0"/>
        <w:pageBreakBefore w:val="0"/>
        <w:widowControl w:val="0"/>
        <w:kinsoku/>
        <w:wordWrap/>
        <w:overflowPunct/>
        <w:autoSpaceDE/>
        <w:autoSpaceDN/>
        <w:bidi w:val="0"/>
        <w:spacing w:line="560" w:lineRule="exact"/>
        <w:ind w:left="0" w:leftChars="0" w:firstLine="643" w:firstLineChars="200"/>
        <w:jc w:val="both"/>
        <w:textAlignment w:val="auto"/>
        <w:outlineLvl w:val="1"/>
        <w:rPr>
          <w:rFonts w:hint="eastAsia" w:ascii="楷体_GB2312" w:hAnsi="楷体_GB2312" w:eastAsia="楷体_GB2312" w:cs="楷体_GB2312"/>
          <w:b/>
          <w:bCs/>
          <w:sz w:val="32"/>
          <w:szCs w:val="32"/>
          <w:lang w:val="en-US" w:eastAsia="zh-CN"/>
        </w:rPr>
      </w:pPr>
      <w:bookmarkStart w:id="59" w:name="_Toc28669"/>
      <w:r>
        <w:rPr>
          <w:rFonts w:hint="eastAsia" w:ascii="楷体_GB2312" w:hAnsi="楷体_GB2312" w:eastAsia="楷体_GB2312" w:cs="楷体_GB2312"/>
          <w:b/>
          <w:bCs/>
          <w:sz w:val="32"/>
          <w:szCs w:val="32"/>
          <w:lang w:val="en-US" w:eastAsia="zh-CN"/>
        </w:rPr>
        <w:t>（二）建议移送司法机关处理的人员</w:t>
      </w:r>
      <w:bookmarkEnd w:id="59"/>
    </w:p>
    <w:p w14:paraId="15C698C2">
      <w:pPr>
        <w:pStyle w:val="10"/>
        <w:keepNext w:val="0"/>
        <w:keepLines w:val="0"/>
        <w:pageBreakBefore w:val="0"/>
        <w:widowControl w:val="0"/>
        <w:kinsoku/>
        <w:wordWrap/>
        <w:overflowPunct/>
        <w:autoSpaceDE/>
        <w:autoSpaceDN/>
        <w:bidi w:val="0"/>
        <w:spacing w:line="560" w:lineRule="exact"/>
        <w:ind w:left="0" w:leftChars="0" w:firstLine="640" w:firstLineChars="200"/>
        <w:jc w:val="both"/>
        <w:textAlignment w:val="auto"/>
        <w:outlineLvl w:val="1"/>
        <w:rPr>
          <w:rFonts w:hint="default" w:ascii="仿宋_GB2312" w:hAnsi="仿宋_GB2312" w:eastAsia="仿宋_GB2312" w:cs="仿宋_GB2312"/>
          <w:b/>
          <w:bCs/>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何某平，塔吊司机，在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明知发出吊装信号指令的人员并非</w:t>
      </w:r>
      <w:r>
        <w:rPr>
          <w:rFonts w:hint="eastAsia" w:ascii="仿宋_GB2312" w:hAnsi="仿宋_GB2312" w:eastAsia="仿宋_GB2312" w:cs="仿宋_GB2312"/>
          <w:color w:val="000000" w:themeColor="text1"/>
          <w:kern w:val="2"/>
          <w:sz w:val="32"/>
          <w:szCs w:val="32"/>
          <w:u w:val="none"/>
          <w:lang w:val="en-US" w:eastAsia="zh-CN" w:bidi="ar-SA"/>
          <w14:textFill>
            <w14:solidFill>
              <w14:schemeClr w14:val="tx1"/>
            </w14:solidFill>
          </w14:textFill>
        </w:rPr>
        <w:t>建筑起重机械信号司索工的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情况下，仍违章操作吊装叠合板，上升的叠合板将谢某涛带至高处坠落受伤死亡。</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涉嫌触犯《中华人民共和国刑法》第一百三十四条第一款</w:t>
      </w:r>
      <w:r>
        <w:rPr>
          <w:rStyle w:val="16"/>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footnoteReference w:id="17"/>
      </w:r>
      <w:r>
        <w:rPr>
          <w:rStyle w:val="16"/>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规定，建议由公安部门依法对其进行处理。</w:t>
      </w:r>
    </w:p>
    <w:p w14:paraId="685ACECC">
      <w:pPr>
        <w:pStyle w:val="10"/>
        <w:keepNext w:val="0"/>
        <w:keepLines w:val="0"/>
        <w:pageBreakBefore w:val="0"/>
        <w:widowControl w:val="0"/>
        <w:kinsoku/>
        <w:wordWrap/>
        <w:overflowPunct/>
        <w:autoSpaceDE/>
        <w:autoSpaceDN/>
        <w:bidi w:val="0"/>
        <w:spacing w:line="560" w:lineRule="exact"/>
        <w:ind w:left="0" w:leftChars="0" w:firstLine="643" w:firstLineChars="200"/>
        <w:jc w:val="both"/>
        <w:textAlignment w:val="auto"/>
        <w:outlineLvl w:val="1"/>
        <w:rPr>
          <w:rFonts w:hint="eastAsia" w:ascii="楷体_GB2312" w:hAnsi="楷体_GB2312" w:eastAsia="楷体_GB2312" w:cs="楷体_GB2312"/>
          <w:b/>
          <w:bCs/>
          <w:sz w:val="32"/>
          <w:szCs w:val="32"/>
          <w:lang w:val="en-US" w:eastAsia="zh-CN"/>
        </w:rPr>
      </w:pPr>
      <w:bookmarkStart w:id="60" w:name="_Toc14425"/>
      <w:r>
        <w:rPr>
          <w:rFonts w:hint="eastAsia" w:ascii="楷体_GB2312" w:hAnsi="楷体_GB2312" w:eastAsia="楷体_GB2312" w:cs="楷体_GB2312"/>
          <w:b/>
          <w:bCs/>
          <w:sz w:val="32"/>
          <w:szCs w:val="32"/>
          <w:lang w:val="en-US" w:eastAsia="zh-CN"/>
        </w:rPr>
        <w:t>（三）对事故有关责任人员和责任单位的处理建议</w:t>
      </w:r>
      <w:bookmarkEnd w:id="60"/>
    </w:p>
    <w:p w14:paraId="18E3C6DB">
      <w:pPr>
        <w:keepNext w:val="0"/>
        <w:keepLines w:val="0"/>
        <w:pageBreakBefore w:val="0"/>
        <w:widowControl w:val="0"/>
        <w:kinsoku/>
        <w:wordWrap/>
        <w:overflowPunct/>
        <w:topLinePunct w:val="0"/>
        <w:autoSpaceDE/>
        <w:autoSpaceDN/>
        <w:bidi w:val="0"/>
        <w:snapToGrid/>
        <w:spacing w:line="560" w:lineRule="exact"/>
        <w:ind w:firstLine="643"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1</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.坤建劳务公司。</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未配备项目专职安全生产管理人员，安排不具备建筑施工特种作业资格的人员实施特种作业，安全生产教育培训不到位，从业人员存在违规作业行为，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对事故负有责任。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违反</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建筑施工企业安全生产管理机构设置及专职安全生产管理人员配备办法</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w:t>
      </w:r>
      <w:r>
        <w:rPr>
          <w:rFonts w:hint="eastAsia" w:ascii="宋体" w:hAnsi="宋体" w:eastAsia="宋体" w:cs="宋体"/>
          <w:color w:val="000000" w:themeColor="text1"/>
          <w:kern w:val="2"/>
          <w:sz w:val="32"/>
          <w:szCs w:val="32"/>
          <w:highlight w:val="none"/>
          <w:lang w:val="en-US" w:eastAsia="zh-CN" w:bidi="ar-SA"/>
          <w14:textFill>
            <w14:solidFill>
              <w14:schemeClr w14:val="tx1"/>
            </w14:solidFill>
          </w14:textFill>
        </w:rPr>
        <w:t>2026</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宋体" w:hAnsi="宋体" w:eastAsia="宋体" w:cs="宋体"/>
          <w:color w:val="000000" w:themeColor="text1"/>
          <w:kern w:val="2"/>
          <w:sz w:val="32"/>
          <w:szCs w:val="32"/>
          <w:highlight w:val="none"/>
          <w:lang w:val="en-US" w:eastAsia="zh-CN" w:bidi="ar-SA"/>
          <w14:textFill>
            <w14:solidFill>
              <w14:schemeClr w14:val="tx1"/>
            </w14:solidFill>
          </w14:textFill>
        </w:rPr>
        <w:t>3</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宋体" w:hAnsi="宋体" w:eastAsia="宋体" w:cs="宋体"/>
          <w:color w:val="000000" w:themeColor="text1"/>
          <w:kern w:val="2"/>
          <w:sz w:val="32"/>
          <w:szCs w:val="32"/>
          <w:highlight w:val="none"/>
          <w:lang w:val="en-US" w:eastAsia="zh-CN" w:bidi="ar-SA"/>
          <w14:textFill>
            <w14:solidFill>
              <w14:schemeClr w14:val="tx1"/>
            </w14:solidFill>
          </w14:textFill>
        </w:rPr>
        <w:t>26</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日废除）》第十四条第二项</w:t>
      </w:r>
      <w:r>
        <w:rPr>
          <w:rStyle w:val="16"/>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footnoteReference w:id="18"/>
      </w:r>
      <w:r>
        <w:rPr>
          <w:rStyle w:val="16"/>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以及《安全生产法</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第二十八条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第一款</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19"/>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、第四十二条第二款</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20"/>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的规定，建议由应急管理部门依照有关法律法规给予行政处罚。</w:t>
      </w:r>
    </w:p>
    <w:p w14:paraId="02BE8711">
      <w:pPr>
        <w:keepNext w:val="0"/>
        <w:keepLines w:val="0"/>
        <w:pageBreakBefore w:val="0"/>
        <w:widowControl w:val="0"/>
        <w:kinsoku/>
        <w:wordWrap/>
        <w:overflowPunct/>
        <w:topLinePunct w:val="0"/>
        <w:autoSpaceDE/>
        <w:autoSpaceDN/>
        <w:bidi w:val="0"/>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.张某中。</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男，坤建劳务公司法定代表人，未派遣项目专职安全生产管理人员进场管理，未及时消除施工现场违规作业的事故隐患，对事故发生负有重要管理责任。违反《安全生产法》第二十</w:t>
      </w:r>
      <w:r>
        <w:rPr>
          <w:rFonts w:hint="eastAsia" w:ascii="仿宋_GB2312" w:hAnsi="仿宋" w:eastAsia="仿宋_GB2312" w:cs="楷体"/>
          <w:color w:val="auto"/>
          <w:sz w:val="32"/>
          <w:szCs w:val="32"/>
          <w:lang w:val="en-US" w:eastAsia="zh-CN"/>
        </w:rPr>
        <w:t>一条第四项和第五项</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21"/>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的规定</w:t>
      </w:r>
      <w:r>
        <w:rPr>
          <w:rFonts w:hint="eastAsia" w:ascii="仿宋" w:hAnsi="仿宋" w:eastAsia="仿宋" w:cs="仿宋"/>
          <w:sz w:val="32"/>
          <w:szCs w:val="32"/>
          <w:lang w:val="en-US" w:eastAsia="zh-CN"/>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建议由应急管理部门依照有关法律法规给予行政处罚。</w:t>
      </w:r>
    </w:p>
    <w:p w14:paraId="29316861">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3</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.天晟达劳务公司。</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天晟达劳务公司在不具备</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建筑业企业施工劳务资质的情况下承接劳务项目，</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未配备项目专职安全生产管理人员，安全生产教育培训不到位，从业人员存在违章作业行为，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对事故负有责任。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违反</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建筑施工企业安全生产管理机构设置及专职安全生产管理人员配备办法</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w:t>
      </w:r>
      <w:r>
        <w:rPr>
          <w:rFonts w:hint="eastAsia" w:ascii="宋体" w:hAnsi="宋体" w:eastAsia="宋体" w:cs="宋体"/>
          <w:color w:val="000000" w:themeColor="text1"/>
          <w:kern w:val="2"/>
          <w:sz w:val="32"/>
          <w:szCs w:val="32"/>
          <w:highlight w:val="none"/>
          <w:lang w:val="en-US" w:eastAsia="zh-CN" w:bidi="ar-SA"/>
          <w14:textFill>
            <w14:solidFill>
              <w14:schemeClr w14:val="tx1"/>
            </w14:solidFill>
          </w14:textFill>
        </w:rPr>
        <w:t>2026</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宋体" w:hAnsi="宋体" w:eastAsia="宋体" w:cs="宋体"/>
          <w:color w:val="000000" w:themeColor="text1"/>
          <w:kern w:val="2"/>
          <w:sz w:val="32"/>
          <w:szCs w:val="32"/>
          <w:highlight w:val="none"/>
          <w:lang w:val="en-US" w:eastAsia="zh-CN" w:bidi="ar-SA"/>
          <w14:textFill>
            <w14:solidFill>
              <w14:schemeClr w14:val="tx1"/>
            </w14:solidFill>
          </w14:textFill>
        </w:rPr>
        <w:t>3</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宋体" w:hAnsi="宋体" w:eastAsia="宋体" w:cs="宋体"/>
          <w:color w:val="000000" w:themeColor="text1"/>
          <w:kern w:val="2"/>
          <w:sz w:val="32"/>
          <w:szCs w:val="32"/>
          <w:highlight w:val="none"/>
          <w:lang w:val="en-US" w:eastAsia="zh-CN" w:bidi="ar-SA"/>
          <w14:textFill>
            <w14:solidFill>
              <w14:schemeClr w14:val="tx1"/>
            </w14:solidFill>
          </w14:textFill>
        </w:rPr>
        <w:t>26</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日废除）》第十四条第二项</w:t>
      </w:r>
      <w:r>
        <w:rPr>
          <w:rStyle w:val="16"/>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footnoteReference w:id="22"/>
      </w:r>
      <w:r>
        <w:rPr>
          <w:rStyle w:val="16"/>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以及</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《安全生产法</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第二十八条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第一款</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23"/>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第四十四条</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第一款</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24"/>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、第四十二条第二款</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25"/>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的规定，建议由应急管理部门依照有关法律法规给予行政处罚。</w:t>
      </w:r>
    </w:p>
    <w:p w14:paraId="7C732C6B">
      <w:pPr>
        <w:keepNext w:val="0"/>
        <w:keepLines w:val="0"/>
        <w:pageBreakBefore w:val="0"/>
        <w:widowControl w:val="0"/>
        <w:kinsoku/>
        <w:wordWrap/>
        <w:overflowPunct/>
        <w:topLinePunct w:val="0"/>
        <w:autoSpaceDE/>
        <w:autoSpaceDN/>
        <w:bidi w:val="0"/>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4</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.吴某。</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男，天晟达劳务公司法定代表人，未派遣项目专职安全生产管理人员进场管理，未及时消除施工现场违章作业的事故隐患，对事故发生负有重要管理责任。违反《安全生产法》第二十</w:t>
      </w:r>
      <w:r>
        <w:rPr>
          <w:rFonts w:hint="eastAsia" w:ascii="仿宋_GB2312" w:hAnsi="仿宋" w:eastAsia="仿宋_GB2312" w:cs="楷体"/>
          <w:color w:val="auto"/>
          <w:sz w:val="32"/>
          <w:szCs w:val="32"/>
          <w:lang w:val="en-US" w:eastAsia="zh-CN"/>
        </w:rPr>
        <w:t>一条第四项和第五项</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26"/>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的规定</w:t>
      </w:r>
      <w:r>
        <w:rPr>
          <w:rFonts w:hint="eastAsia" w:ascii="仿宋" w:hAnsi="仿宋" w:eastAsia="仿宋" w:cs="仿宋"/>
          <w:sz w:val="32"/>
          <w:szCs w:val="32"/>
          <w:lang w:val="en-US" w:eastAsia="zh-CN"/>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建议由应急管理部门依照有关法律法规给予行政处罚。</w:t>
      </w:r>
    </w:p>
    <w:p w14:paraId="65B57650">
      <w:pPr>
        <w:pStyle w:val="8"/>
        <w:keepNext w:val="0"/>
        <w:keepLines w:val="0"/>
        <w:pageBreakBefore w:val="0"/>
        <w:widowControl w:val="0"/>
        <w:kinsoku/>
        <w:wordWrap/>
        <w:overflowPunct/>
        <w:autoSpaceDE/>
        <w:autoSpaceDN/>
        <w:bidi w:val="0"/>
        <w:spacing w:line="560" w:lineRule="exact"/>
        <w:ind w:firstLine="643" w:firstLineChars="200"/>
        <w:jc w:val="both"/>
        <w:textAlignment w:val="auto"/>
        <w:outlineLvl w:val="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61" w:name="_Toc30061"/>
      <w:r>
        <w:rPr>
          <w:rFonts w:hint="eastAsia" w:ascii="宋体" w:hAnsi="宋体" w:eastAsia="宋体" w:cs="宋体"/>
          <w:b/>
          <w:bCs/>
          <w:color w:val="000000" w:themeColor="text1"/>
          <w:sz w:val="32"/>
          <w:szCs w:val="32"/>
          <w:highlight w:val="none"/>
          <w:lang w:val="en-US" w:eastAsia="zh-CN"/>
          <w14:textFill>
            <w14:solidFill>
              <w14:schemeClr w14:val="tx1"/>
            </w14:solidFill>
          </w14:textFill>
        </w:rPr>
        <w:t>5</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.欣易彩建筑公司。</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安全生产教育培训不到位，项目作业人员存在违规违章作业行为；安全生产统一协调、管理不到位，未及时督促承包、承租单位整改事故隐患，对事故负有责任。违反《</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武汉市建设工程安全生产管理办法</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第二十七条</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27"/>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和《安全生产法》第四十九条第二款</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28"/>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的规定</w:t>
      </w:r>
      <w:r>
        <w:rPr>
          <w:rFonts w:hint="eastAsia" w:ascii="仿宋" w:hAnsi="仿宋" w:eastAsia="仿宋" w:cs="仿宋"/>
          <w:sz w:val="32"/>
          <w:szCs w:val="32"/>
          <w:lang w:val="en-US" w:eastAsia="zh-CN"/>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建议由应急管理部门依照有关法律法规给予行政处罚。</w:t>
      </w:r>
      <w:bookmarkEnd w:id="61"/>
    </w:p>
    <w:p w14:paraId="38A5AF1D">
      <w:pPr>
        <w:keepNext w:val="0"/>
        <w:keepLines w:val="0"/>
        <w:pageBreakBefore w:val="0"/>
        <w:widowControl w:val="0"/>
        <w:kinsoku/>
        <w:wordWrap/>
        <w:overflowPunct/>
        <w:topLinePunct w:val="0"/>
        <w:autoSpaceDE/>
        <w:autoSpaceDN/>
        <w:bidi w:val="0"/>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6</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.李某峰。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男，欣易彩建筑公司派驻项目安全员，未及时排查项目施工现场生产</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安全事故隐患，</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对事故发生负有管理责任。违反《安全生产法》第二十</w:t>
      </w:r>
      <w:r>
        <w:rPr>
          <w:rFonts w:hint="eastAsia" w:ascii="仿宋_GB2312" w:hAnsi="仿宋" w:eastAsia="仿宋_GB2312" w:cs="楷体"/>
          <w:color w:val="auto"/>
          <w:sz w:val="32"/>
          <w:szCs w:val="32"/>
          <w:lang w:val="en-US" w:eastAsia="zh-CN"/>
        </w:rPr>
        <w:t>五条第一款第五项</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29"/>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的规定</w:t>
      </w:r>
      <w:r>
        <w:rPr>
          <w:rFonts w:hint="eastAsia" w:ascii="仿宋" w:hAnsi="仿宋" w:eastAsia="仿宋" w:cs="仿宋"/>
          <w:sz w:val="32"/>
          <w:szCs w:val="32"/>
          <w:lang w:val="en-US" w:eastAsia="zh-CN"/>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建议由应急管理部门依照有关法律法规给予行政处罚。</w:t>
      </w:r>
    </w:p>
    <w:p w14:paraId="576EB58D">
      <w:pPr>
        <w:pStyle w:val="8"/>
        <w:keepNext w:val="0"/>
        <w:keepLines w:val="0"/>
        <w:pageBreakBefore w:val="0"/>
        <w:widowControl w:val="0"/>
        <w:kinsoku/>
        <w:wordWrap/>
        <w:overflowPunct/>
        <w:autoSpaceDE/>
        <w:autoSpaceDN/>
        <w:bidi w:val="0"/>
        <w:spacing w:line="560" w:lineRule="exact"/>
        <w:ind w:firstLine="643" w:firstLineChars="200"/>
        <w:jc w:val="both"/>
        <w:textAlignment w:val="auto"/>
        <w:outlineLvl w:val="0"/>
        <w:rPr>
          <w:rFonts w:hint="default" w:ascii="黑体" w:hAnsi="黑体" w:eastAsia="黑体" w:cs="黑体"/>
          <w:sz w:val="32"/>
          <w:szCs w:val="32"/>
          <w:lang w:val="en-US" w:eastAsia="zh-CN"/>
        </w:rPr>
      </w:pPr>
      <w:bookmarkStart w:id="62" w:name="_Toc1122"/>
      <w:r>
        <w:rPr>
          <w:rFonts w:hint="eastAsia" w:ascii="宋体" w:hAnsi="宋体" w:eastAsia="宋体" w:cs="宋体"/>
          <w:b/>
          <w:bCs/>
          <w:color w:val="000000" w:themeColor="text1"/>
          <w:kern w:val="2"/>
          <w:sz w:val="32"/>
          <w:szCs w:val="32"/>
          <w:highlight w:val="none"/>
          <w:lang w:val="en-US" w:eastAsia="zh-CN" w:bidi="ar-SA"/>
          <w14:textFill>
            <w14:solidFill>
              <w14:schemeClr w14:val="tx1"/>
            </w14:solidFill>
          </w14:textFill>
        </w:rPr>
        <w:t>7</w:t>
      </w:r>
      <w:r>
        <w:rPr>
          <w:rFonts w:hint="eastAsia" w:ascii="仿宋_GB2312" w:hAnsi="仿宋_GB2312" w:eastAsia="仿宋_GB2312" w:cs="仿宋_GB2312"/>
          <w:b/>
          <w:bCs/>
          <w:color w:val="000000" w:themeColor="text1"/>
          <w:kern w:val="2"/>
          <w:sz w:val="32"/>
          <w:szCs w:val="32"/>
          <w:highlight w:val="none"/>
          <w:lang w:val="en-US" w:eastAsia="zh-CN" w:bidi="ar-SA"/>
          <w14:textFill>
            <w14:solidFill>
              <w14:schemeClr w14:val="tx1"/>
            </w14:solidFill>
          </w14:textFill>
        </w:rPr>
        <w:t>.庞源机械公司。</w:t>
      </w:r>
      <w:r>
        <w:rPr>
          <w:rFonts w:hint="eastAsia" w:ascii="仿宋_GB2312" w:hAnsi="仿宋_GB2312" w:eastAsia="仿宋_GB2312" w:cs="仿宋_GB2312"/>
          <w:color w:val="000000" w:themeColor="text1"/>
          <w:kern w:val="2"/>
          <w:sz w:val="32"/>
          <w:szCs w:val="32"/>
          <w:highlight w:val="none"/>
          <w:u w:val="none" w:color="auto"/>
          <w:lang w:val="en-US" w:eastAsia="zh-CN" w:bidi="ar-SA"/>
          <w14:textFill>
            <w14:solidFill>
              <w14:schemeClr w14:val="tx1"/>
            </w14:solidFill>
          </w14:textFill>
        </w:rPr>
        <w:t>将塔吊劳务分包给</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不具备</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建筑业企业施工劳务资质的承包单位</w:t>
      </w:r>
      <w:r>
        <w:rPr>
          <w:rFonts w:hint="eastAsia" w:ascii="仿宋_GB2312" w:hAnsi="仿宋_GB2312" w:eastAsia="仿宋_GB2312" w:cs="仿宋_GB2312"/>
          <w:color w:val="000000" w:themeColor="text1"/>
          <w:kern w:val="2"/>
          <w:sz w:val="32"/>
          <w:szCs w:val="32"/>
          <w:highlight w:val="none"/>
          <w:u w:val="none" w:color="auto"/>
          <w:lang w:val="en-US" w:eastAsia="zh-CN" w:bidi="ar-SA"/>
          <w14:textFill>
            <w14:solidFill>
              <w14:schemeClr w14:val="tx1"/>
            </w14:solidFill>
          </w14:textFill>
        </w:rPr>
        <w:t>，</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安全生产统一协调、管理不到位，未及时督促分包单位整改事故隐患</w:t>
      </w:r>
      <w:r>
        <w:rPr>
          <w:rFonts w:hint="eastAsia" w:ascii="仿宋_GB2312" w:hAnsi="仿宋_GB2312" w:eastAsia="仿宋_GB2312" w:cs="仿宋_GB2312"/>
          <w:color w:val="000000" w:themeColor="text1"/>
          <w:kern w:val="2"/>
          <w:sz w:val="32"/>
          <w:szCs w:val="32"/>
          <w:u w:val="none"/>
          <w:lang w:val="en-US" w:eastAsia="zh-CN" w:bidi="ar-SA"/>
          <w14:textFill>
            <w14:solidFill>
              <w14:schemeClr w14:val="tx1"/>
            </w14:solidFill>
          </w14:textFill>
        </w:rPr>
        <w:t>，未配备项目专职安全生产管理人员进行管理，</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对事故负有责任。违反《安全生产法》第四十九条第一款</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30"/>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、四十九条第二款</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31"/>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以及</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建筑施工企业安全生产管理机构设置及专职安全生产管理人员配备办法</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w:t>
      </w:r>
      <w:r>
        <w:rPr>
          <w:rFonts w:hint="eastAsia" w:ascii="宋体" w:hAnsi="宋体" w:eastAsia="宋体" w:cs="宋体"/>
          <w:color w:val="000000" w:themeColor="text1"/>
          <w:kern w:val="2"/>
          <w:sz w:val="32"/>
          <w:szCs w:val="32"/>
          <w:highlight w:val="none"/>
          <w:lang w:val="en-US" w:eastAsia="zh-CN" w:bidi="ar-SA"/>
          <w14:textFill>
            <w14:solidFill>
              <w14:schemeClr w14:val="tx1"/>
            </w14:solidFill>
          </w14:textFill>
        </w:rPr>
        <w:t>2026</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宋体" w:hAnsi="宋体" w:eastAsia="宋体" w:cs="宋体"/>
          <w:color w:val="000000" w:themeColor="text1"/>
          <w:kern w:val="2"/>
          <w:sz w:val="32"/>
          <w:szCs w:val="32"/>
          <w:highlight w:val="none"/>
          <w:lang w:val="en-US" w:eastAsia="zh-CN" w:bidi="ar-SA"/>
          <w14:textFill>
            <w14:solidFill>
              <w14:schemeClr w14:val="tx1"/>
            </w14:solidFill>
          </w14:textFill>
        </w:rPr>
        <w:t>3</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宋体" w:hAnsi="宋体" w:eastAsia="宋体" w:cs="宋体"/>
          <w:color w:val="000000" w:themeColor="text1"/>
          <w:kern w:val="2"/>
          <w:sz w:val="32"/>
          <w:szCs w:val="32"/>
          <w:highlight w:val="none"/>
          <w:lang w:val="en-US" w:eastAsia="zh-CN" w:bidi="ar-SA"/>
          <w14:textFill>
            <w14:solidFill>
              <w14:schemeClr w14:val="tx1"/>
            </w14:solidFill>
          </w14:textFill>
        </w:rPr>
        <w:t>26</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日废除）》第十四条第二项</w:t>
      </w:r>
      <w:r>
        <w:rPr>
          <w:rStyle w:val="16"/>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footnoteReference w:id="32"/>
      </w:r>
      <w:r>
        <w:rPr>
          <w:rStyle w:val="16"/>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的规定</w:t>
      </w:r>
      <w:r>
        <w:rPr>
          <w:rFonts w:hint="eastAsia" w:ascii="仿宋" w:hAnsi="仿宋" w:eastAsia="仿宋" w:cs="仿宋"/>
          <w:sz w:val="32"/>
          <w:szCs w:val="32"/>
          <w:lang w:val="en-US" w:eastAsia="zh-CN"/>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建议由应急管理部门依照有关法律法规给予行政处罚。</w:t>
      </w:r>
      <w:bookmarkEnd w:id="62"/>
    </w:p>
    <w:p w14:paraId="79CFE708">
      <w:pPr>
        <w:keepNext w:val="0"/>
        <w:keepLines w:val="0"/>
        <w:pageBreakBefore w:val="0"/>
        <w:widowControl w:val="0"/>
        <w:kinsoku/>
        <w:wordWrap/>
        <w:overflowPunct/>
        <w:topLinePunct w:val="0"/>
        <w:autoSpaceDE/>
        <w:autoSpaceDN/>
        <w:bidi w:val="0"/>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宋体" w:hAnsi="宋体" w:eastAsia="宋体" w:cs="宋体"/>
          <w:b/>
          <w:bCs/>
          <w:color w:val="000000" w:themeColor="text1"/>
          <w:kern w:val="2"/>
          <w:sz w:val="32"/>
          <w:szCs w:val="32"/>
          <w:highlight w:val="none"/>
          <w:lang w:val="en-US" w:eastAsia="zh-CN" w:bidi="ar-SA"/>
          <w14:textFill>
            <w14:solidFill>
              <w14:schemeClr w14:val="tx1"/>
            </w14:solidFill>
          </w14:textFill>
        </w:rPr>
        <w:t>8</w:t>
      </w:r>
      <w:r>
        <w:rPr>
          <w:rFonts w:hint="eastAsia" w:ascii="仿宋_GB2312" w:hAnsi="仿宋_GB2312" w:eastAsia="仿宋_GB2312" w:cs="仿宋_GB2312"/>
          <w:b/>
          <w:bCs/>
          <w:color w:val="000000" w:themeColor="text1"/>
          <w:kern w:val="2"/>
          <w:sz w:val="32"/>
          <w:szCs w:val="32"/>
          <w:highlight w:val="none"/>
          <w:lang w:val="en-US" w:eastAsia="zh-CN" w:bidi="ar-SA"/>
          <w14:textFill>
            <w14:solidFill>
              <w14:schemeClr w14:val="tx1"/>
            </w14:solidFill>
          </w14:textFill>
        </w:rPr>
        <w:t>.</w:t>
      </w:r>
      <w:r>
        <w:rPr>
          <w:rFonts w:hint="eastAsia" w:ascii="仿宋_GB2312" w:hAnsi="仿宋_GB2312" w:eastAsia="仿宋_GB2312" w:cs="仿宋_GB2312"/>
          <w:b/>
          <w:bCs/>
          <w:color w:val="000000" w:themeColor="text1"/>
          <w:kern w:val="2"/>
          <w:sz w:val="32"/>
          <w:szCs w:val="32"/>
          <w:highlight w:val="none"/>
          <w:lang w:val="en-US" w:eastAsia="zh-CN" w:bidi="ar-SA"/>
          <w14:textFill>
            <w14:solidFill>
              <w14:schemeClr w14:val="tx1"/>
            </w14:solidFill>
          </w14:textFill>
        </w:rPr>
        <w:fldChar w:fldCharType="begin"/>
      </w:r>
      <w:r>
        <w:rPr>
          <w:rFonts w:hint="eastAsia" w:ascii="仿宋_GB2312" w:hAnsi="仿宋_GB2312" w:eastAsia="仿宋_GB2312" w:cs="仿宋_GB2312"/>
          <w:b/>
          <w:bCs/>
          <w:color w:val="000000" w:themeColor="text1"/>
          <w:kern w:val="2"/>
          <w:sz w:val="32"/>
          <w:szCs w:val="32"/>
          <w:highlight w:val="none"/>
          <w:lang w:val="en-US" w:eastAsia="zh-CN" w:bidi="ar-SA"/>
          <w14:textFill>
            <w14:solidFill>
              <w14:schemeClr w14:val="tx1"/>
            </w14:solidFill>
          </w14:textFill>
        </w:rPr>
        <w:instrText xml:space="preserve"> HYPERLINK "https://www.tianyancha.com/human/6830358211-c1165145268" \t "https://www.tianyancha.com/company/_blank" </w:instrText>
      </w:r>
      <w:r>
        <w:rPr>
          <w:rFonts w:hint="eastAsia" w:ascii="仿宋_GB2312" w:hAnsi="仿宋_GB2312" w:eastAsia="仿宋_GB2312" w:cs="仿宋_GB2312"/>
          <w:b/>
          <w:bCs/>
          <w:color w:val="000000" w:themeColor="text1"/>
          <w:kern w:val="2"/>
          <w:sz w:val="32"/>
          <w:szCs w:val="32"/>
          <w:highlight w:val="none"/>
          <w:lang w:val="en-US" w:eastAsia="zh-CN" w:bidi="ar-SA"/>
          <w14:textFill>
            <w14:solidFill>
              <w14:schemeClr w14:val="tx1"/>
            </w14:solidFill>
          </w14:textFill>
        </w:rPr>
        <w:fldChar w:fldCharType="separate"/>
      </w:r>
      <w:r>
        <w:rPr>
          <w:rFonts w:hint="default" w:ascii="仿宋_GB2312" w:hAnsi="仿宋_GB2312" w:eastAsia="仿宋_GB2312" w:cs="仿宋_GB2312"/>
          <w:b/>
          <w:bCs/>
          <w:color w:val="000000" w:themeColor="text1"/>
          <w:kern w:val="2"/>
          <w:sz w:val="32"/>
          <w:szCs w:val="32"/>
          <w:highlight w:val="none"/>
          <w:lang w:val="en-US" w:eastAsia="zh-CN" w:bidi="ar-SA"/>
          <w14:textFill>
            <w14:solidFill>
              <w14:schemeClr w14:val="tx1"/>
            </w14:solidFill>
          </w14:textFill>
        </w:rPr>
        <w:t>侯</w:t>
      </w:r>
      <w:r>
        <w:rPr>
          <w:rFonts w:hint="eastAsia" w:ascii="仿宋_GB2312" w:hAnsi="仿宋_GB2312" w:eastAsia="仿宋_GB2312" w:cs="仿宋_GB2312"/>
          <w:b/>
          <w:bCs/>
          <w:color w:val="000000" w:themeColor="text1"/>
          <w:kern w:val="2"/>
          <w:sz w:val="32"/>
          <w:szCs w:val="32"/>
          <w:highlight w:val="none"/>
          <w:lang w:val="en-US" w:eastAsia="zh-CN" w:bidi="ar-SA"/>
          <w14:textFill>
            <w14:solidFill>
              <w14:schemeClr w14:val="tx1"/>
            </w14:solidFill>
          </w14:textFill>
        </w:rPr>
        <w:t>某</w:t>
      </w:r>
      <w:r>
        <w:rPr>
          <w:rFonts w:hint="default" w:ascii="仿宋_GB2312" w:hAnsi="仿宋_GB2312" w:eastAsia="仿宋_GB2312" w:cs="仿宋_GB2312"/>
          <w:b/>
          <w:bCs/>
          <w:color w:val="000000" w:themeColor="text1"/>
          <w:kern w:val="2"/>
          <w:sz w:val="32"/>
          <w:szCs w:val="32"/>
          <w:highlight w:val="none"/>
          <w:lang w:val="en-US" w:eastAsia="zh-CN" w:bidi="ar-SA"/>
          <w14:textFill>
            <w14:solidFill>
              <w14:schemeClr w14:val="tx1"/>
            </w14:solidFill>
          </w14:textFill>
        </w:rPr>
        <w:t>炜</w:t>
      </w:r>
      <w:r>
        <w:rPr>
          <w:rFonts w:hint="default" w:ascii="仿宋_GB2312" w:hAnsi="仿宋_GB2312" w:eastAsia="仿宋_GB2312" w:cs="仿宋_GB2312"/>
          <w:b/>
          <w:bCs/>
          <w:color w:val="000000" w:themeColor="text1"/>
          <w:kern w:val="2"/>
          <w:sz w:val="32"/>
          <w:szCs w:val="32"/>
          <w:highlight w:val="none"/>
          <w:lang w:val="en-US" w:eastAsia="zh-CN" w:bidi="ar-SA"/>
          <w14:textFill>
            <w14:solidFill>
              <w14:schemeClr w14:val="tx1"/>
            </w14:solidFill>
          </w14:textFill>
        </w:rPr>
        <w:fldChar w:fldCharType="end"/>
      </w:r>
      <w:r>
        <w:rPr>
          <w:rFonts w:hint="eastAsia" w:ascii="仿宋_GB2312" w:hAnsi="仿宋_GB2312" w:eastAsia="仿宋_GB2312" w:cs="仿宋_GB2312"/>
          <w:b/>
          <w:bCs/>
          <w:color w:val="000000" w:themeColor="text1"/>
          <w:kern w:val="2"/>
          <w:sz w:val="32"/>
          <w:szCs w:val="32"/>
          <w:highlight w:val="none"/>
          <w:lang w:val="en-US" w:eastAsia="zh-CN" w:bidi="ar-SA"/>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男，</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庞源机械公司法定代表人，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未派遣项目专职安全生产管理人员进场管理，对事故发生负有重要管理责任。违反《安全生产法》第二十</w:t>
      </w:r>
      <w:r>
        <w:rPr>
          <w:rFonts w:hint="eastAsia" w:ascii="仿宋_GB2312" w:hAnsi="仿宋" w:eastAsia="仿宋_GB2312" w:cs="楷体"/>
          <w:color w:val="auto"/>
          <w:sz w:val="32"/>
          <w:szCs w:val="32"/>
          <w:lang w:val="en-US" w:eastAsia="zh-CN"/>
        </w:rPr>
        <w:t>一条第四项</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33"/>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的规定</w:t>
      </w:r>
      <w:r>
        <w:rPr>
          <w:rFonts w:hint="eastAsia" w:ascii="仿宋" w:hAnsi="仿宋" w:eastAsia="仿宋" w:cs="仿宋"/>
          <w:sz w:val="32"/>
          <w:szCs w:val="32"/>
          <w:lang w:val="en-US" w:eastAsia="zh-CN"/>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建议由应急管理部门依照有关法律法规给予行政处罚。</w:t>
      </w:r>
    </w:p>
    <w:p w14:paraId="27694E07">
      <w:pPr>
        <w:keepNext w:val="0"/>
        <w:keepLines w:val="0"/>
        <w:pageBreakBefore w:val="0"/>
        <w:widowControl w:val="0"/>
        <w:kinsoku/>
        <w:wordWrap/>
        <w:overflowPunct/>
        <w:topLinePunct w:val="0"/>
        <w:autoSpaceDE/>
        <w:autoSpaceDN/>
        <w:bidi w:val="0"/>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宋体" w:hAnsi="宋体" w:eastAsia="宋体" w:cs="宋体"/>
          <w:b/>
          <w:bCs/>
          <w:color w:val="000000" w:themeColor="text1"/>
          <w:kern w:val="2"/>
          <w:sz w:val="32"/>
          <w:szCs w:val="32"/>
          <w:highlight w:val="none"/>
          <w:lang w:val="en-US" w:eastAsia="zh-CN" w:bidi="ar-SA"/>
          <w14:textFill>
            <w14:solidFill>
              <w14:schemeClr w14:val="tx1"/>
            </w14:solidFill>
          </w14:textFill>
        </w:rPr>
        <w:t>9</w:t>
      </w:r>
      <w:r>
        <w:rPr>
          <w:rFonts w:hint="eastAsia" w:ascii="仿宋_GB2312" w:hAnsi="仿宋_GB2312" w:eastAsia="仿宋_GB2312" w:cs="仿宋_GB2312"/>
          <w:b/>
          <w:bCs/>
          <w:color w:val="000000" w:themeColor="text1"/>
          <w:kern w:val="2"/>
          <w:sz w:val="32"/>
          <w:szCs w:val="32"/>
          <w:highlight w:val="none"/>
          <w:lang w:val="en-US" w:eastAsia="zh-CN" w:bidi="ar-SA"/>
          <w14:textFill>
            <w14:solidFill>
              <w14:schemeClr w14:val="tx1"/>
            </w14:solidFill>
          </w14:textFill>
        </w:rPr>
        <w:t>.蔡某武。</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男</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，庞源机械公司区域生产助理，未制止和纠正违反操作规程的行为，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对事故发生负有管理责任。违反《安全生产法》第二十</w:t>
      </w:r>
      <w:r>
        <w:rPr>
          <w:rFonts w:hint="eastAsia" w:ascii="仿宋_GB2312" w:hAnsi="仿宋" w:eastAsia="仿宋_GB2312" w:cs="楷体"/>
          <w:color w:val="auto"/>
          <w:sz w:val="32"/>
          <w:szCs w:val="32"/>
          <w:lang w:val="en-US" w:eastAsia="zh-CN"/>
        </w:rPr>
        <w:t>五条第一款第六项</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34"/>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的规定</w:t>
      </w:r>
      <w:r>
        <w:rPr>
          <w:rFonts w:hint="eastAsia" w:ascii="仿宋" w:hAnsi="仿宋" w:eastAsia="仿宋" w:cs="仿宋"/>
          <w:sz w:val="32"/>
          <w:szCs w:val="32"/>
          <w:lang w:val="en-US" w:eastAsia="zh-CN"/>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建议由应急管理部门依照有关法律法规给予行政处罚。</w:t>
      </w:r>
    </w:p>
    <w:p w14:paraId="1067B7A5">
      <w:pPr>
        <w:keepNext w:val="0"/>
        <w:keepLines w:val="0"/>
        <w:pageBreakBefore w:val="0"/>
        <w:widowControl w:val="0"/>
        <w:kinsoku/>
        <w:wordWrap/>
        <w:overflowPunct/>
        <w:autoSpaceDE/>
        <w:autoSpaceDN/>
        <w:bidi w:val="0"/>
        <w:spacing w:line="560" w:lineRule="exact"/>
        <w:ind w:firstLine="641"/>
        <w:textAlignment w:val="auto"/>
        <w:rPr>
          <w:rFonts w:eastAsia="方正仿宋_GBK"/>
          <w:b/>
          <w:sz w:val="32"/>
          <w:szCs w:val="32"/>
        </w:rPr>
      </w:pPr>
      <w:r>
        <w:rPr>
          <w:rFonts w:hint="eastAsia" w:ascii="宋体" w:hAnsi="宋体" w:eastAsia="宋体" w:cs="宋体"/>
          <w:b/>
          <w:bCs/>
          <w:color w:val="000000" w:themeColor="text1"/>
          <w:kern w:val="2"/>
          <w:sz w:val="32"/>
          <w:szCs w:val="32"/>
          <w:highlight w:val="none"/>
          <w:lang w:val="en-US" w:eastAsia="zh-CN" w:bidi="ar-SA"/>
          <w14:textFill>
            <w14:solidFill>
              <w14:schemeClr w14:val="tx1"/>
            </w14:solidFill>
          </w14:textFill>
        </w:rPr>
        <w:t>10</w:t>
      </w:r>
      <w:r>
        <w:rPr>
          <w:rFonts w:hint="eastAsia" w:ascii="仿宋_GB2312" w:hAnsi="仿宋_GB2312" w:eastAsia="仿宋_GB2312" w:cs="仿宋_GB2312"/>
          <w:b/>
          <w:bCs/>
          <w:color w:val="000000" w:themeColor="text1"/>
          <w:kern w:val="2"/>
          <w:sz w:val="32"/>
          <w:szCs w:val="32"/>
          <w:highlight w:val="none"/>
          <w:lang w:val="en-US" w:eastAsia="zh-CN" w:bidi="ar-SA"/>
          <w14:textFill>
            <w14:solidFill>
              <w14:schemeClr w14:val="tx1"/>
            </w14:solidFill>
          </w14:textFill>
        </w:rPr>
        <w:t>.青山监理公司。</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未严格</w:t>
      </w:r>
      <w:r>
        <w:rPr>
          <w:rFonts w:hint="eastAsia" w:ascii="仿宋_GB2312" w:hAnsi="仿宋_GB2312" w:eastAsia="仿宋_GB2312" w:cs="仿宋_GB2312"/>
          <w:color w:val="000000" w:themeColor="text1"/>
          <w:kern w:val="2"/>
          <w:sz w:val="32"/>
          <w:szCs w:val="32"/>
          <w:u w:val="none"/>
          <w:lang w:val="en-US" w:eastAsia="zh-CN" w:bidi="ar-SA"/>
          <w14:textFill>
            <w14:solidFill>
              <w14:schemeClr w14:val="tx1"/>
            </w14:solidFill>
          </w14:textFill>
        </w:rPr>
        <w:t>按照监理规范对工程项目安全生产实施有效监理。违反《建设工程安全生产管理条例》第十四条第二款</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35"/>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kern w:val="2"/>
          <w:sz w:val="32"/>
          <w:szCs w:val="32"/>
          <w:u w:val="none"/>
          <w:lang w:val="en-US" w:eastAsia="zh-CN" w:bidi="ar-SA"/>
          <w14:textFill>
            <w14:solidFill>
              <w14:schemeClr w14:val="tx1"/>
            </w14:solidFill>
          </w14:textFill>
        </w:rPr>
        <w:t>和第十四条第三款</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36"/>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的规定，建议由自然资源和城乡建设部门依照有关法律法规给予行政处罚。</w:t>
      </w:r>
    </w:p>
    <w:p w14:paraId="549903A2">
      <w:pPr>
        <w:pStyle w:val="10"/>
        <w:keepNext w:val="0"/>
        <w:keepLines w:val="0"/>
        <w:pageBreakBefore w:val="0"/>
        <w:widowControl w:val="0"/>
        <w:kinsoku/>
        <w:wordWrap/>
        <w:overflowPunct/>
        <w:topLinePunct w:val="0"/>
        <w:autoSpaceDE/>
        <w:autoSpaceDN/>
        <w:bidi w:val="0"/>
        <w:snapToGrid/>
        <w:spacing w:line="560" w:lineRule="exact"/>
        <w:ind w:left="0" w:leftChars="0" w:firstLine="643" w:firstLineChars="200"/>
        <w:jc w:val="both"/>
        <w:textAlignment w:val="auto"/>
        <w:outlineLvl w:val="1"/>
        <w:rPr>
          <w:rFonts w:hint="default" w:ascii="楷体_GB2312" w:hAnsi="楷体_GB2312" w:eastAsia="楷体_GB2312" w:cs="楷体_GB2312"/>
          <w:b/>
          <w:bCs/>
          <w:sz w:val="32"/>
          <w:szCs w:val="32"/>
          <w:lang w:val="en-US" w:eastAsia="zh-CN"/>
        </w:rPr>
      </w:pPr>
      <w:bookmarkStart w:id="63" w:name="_Toc10978"/>
      <w:bookmarkStart w:id="64" w:name="_Toc23903"/>
      <w:bookmarkStart w:id="65" w:name="_Toc17007"/>
      <w:r>
        <w:rPr>
          <w:rFonts w:hint="eastAsia" w:ascii="楷体_GB2312" w:hAnsi="楷体_GB2312" w:eastAsia="楷体_GB2312" w:cs="楷体_GB2312"/>
          <w:b/>
          <w:bCs/>
          <w:sz w:val="32"/>
          <w:szCs w:val="32"/>
          <w:lang w:val="en-US" w:eastAsia="zh-CN"/>
        </w:rPr>
        <w:t>（四）其他处理建议</w:t>
      </w:r>
      <w:bookmarkEnd w:id="63"/>
      <w:bookmarkEnd w:id="64"/>
      <w:bookmarkEnd w:id="65"/>
    </w:p>
    <w:p w14:paraId="237A82B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000000" w:themeColor="text1"/>
          <w:sz w:val="32"/>
          <w:szCs w:val="32"/>
          <w:highlight w:val="yellow"/>
          <w:lang w:val="en-US" w:eastAsia="zh-CN"/>
          <w14:textFill>
            <w14:solidFill>
              <w14:schemeClr w14:val="tx1"/>
            </w14:solidFill>
          </w14:textFill>
        </w:rPr>
      </w:pPr>
      <w:r>
        <w:rPr>
          <w:rFonts w:hint="eastAsia" w:ascii="仿宋_GB2312" w:hAnsi="仿宋_GB2312" w:eastAsia="仿宋_GB2312" w:cs="仿宋_GB2312"/>
          <w:color w:val="000000" w:themeColor="text1"/>
          <w:kern w:val="2"/>
          <w:sz w:val="32"/>
          <w:szCs w:val="32"/>
          <w:u w:val="none"/>
          <w:lang w:val="en-US" w:eastAsia="zh-CN" w:bidi="ar-SA"/>
          <w14:textFill>
            <w14:solidFill>
              <w14:schemeClr w14:val="tx1"/>
            </w14:solidFill>
          </w14:textFill>
        </w:rPr>
        <w:t>区资建局作为全区房建项目安全监管单位，2025年10月至事故发生前，对事故项目共开展安全检查7次，均未发现事故项目吊装过程中长期存在的违规挂钩、指挥、吊装的重大事故隐患，未有效督促参建单位落实从业人员安全教育。建议责成区资建局对相关人员进行调查处理，有关情况于事故报告批复后</w:t>
      </w: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30</w:t>
      </w:r>
      <w:r>
        <w:rPr>
          <w:rFonts w:hint="eastAsia" w:ascii="仿宋_GB2312" w:hAnsi="仿宋_GB2312" w:eastAsia="仿宋_GB2312" w:cs="仿宋_GB2312"/>
          <w:color w:val="000000" w:themeColor="text1"/>
          <w:kern w:val="2"/>
          <w:sz w:val="32"/>
          <w:szCs w:val="32"/>
          <w:u w:val="none"/>
          <w:lang w:val="en-US" w:eastAsia="zh-CN" w:bidi="ar-SA"/>
          <w14:textFill>
            <w14:solidFill>
              <w14:schemeClr w14:val="tx1"/>
            </w14:solidFill>
          </w14:textFill>
        </w:rPr>
        <w:t>日内报事故调查组。</w:t>
      </w:r>
    </w:p>
    <w:p w14:paraId="744ED784">
      <w:pPr>
        <w:pStyle w:val="8"/>
        <w:keepNext w:val="0"/>
        <w:keepLines w:val="0"/>
        <w:pageBreakBefore w:val="0"/>
        <w:widowControl w:val="0"/>
        <w:kinsoku/>
        <w:wordWrap/>
        <w:overflowPunct/>
        <w:autoSpaceDE/>
        <w:autoSpaceDN/>
        <w:bidi w:val="0"/>
        <w:spacing w:line="560" w:lineRule="exact"/>
        <w:ind w:firstLine="640" w:firstLineChars="200"/>
        <w:jc w:val="both"/>
        <w:textAlignment w:val="auto"/>
        <w:outlineLvl w:val="0"/>
        <w:rPr>
          <w:rFonts w:hint="default" w:ascii="黑体" w:hAnsi="黑体" w:eastAsia="黑体" w:cs="黑体"/>
          <w:sz w:val="32"/>
          <w:szCs w:val="32"/>
          <w:lang w:val="en-US" w:eastAsia="zh-CN"/>
        </w:rPr>
      </w:pPr>
      <w:bookmarkStart w:id="66" w:name="_Toc2938"/>
      <w:r>
        <w:rPr>
          <w:rFonts w:hint="eastAsia" w:ascii="黑体" w:hAnsi="黑体" w:eastAsia="黑体" w:cs="黑体"/>
          <w:sz w:val="32"/>
          <w:szCs w:val="32"/>
          <w:lang w:val="en-US" w:eastAsia="zh-CN"/>
        </w:rPr>
        <w:t>六、事故主要教训</w:t>
      </w:r>
      <w:bookmarkEnd w:id="66"/>
    </w:p>
    <w:p w14:paraId="0AD08835">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本起事故的发生暴露出部分生产经营单位安全生产主体责任落实不到位，安全生产投入和安全生产教育培训不到位，安全生产现场管理缺位，安全生产监理未有效实施。</w:t>
      </w:r>
    </w:p>
    <w:p w14:paraId="71355429">
      <w:pPr>
        <w:pStyle w:val="8"/>
        <w:keepNext w:val="0"/>
        <w:keepLines w:val="0"/>
        <w:pageBreakBefore w:val="0"/>
        <w:widowControl w:val="0"/>
        <w:kinsoku/>
        <w:wordWrap/>
        <w:overflowPunct/>
        <w:autoSpaceDE/>
        <w:autoSpaceDN/>
        <w:bidi w:val="0"/>
        <w:spacing w:line="560" w:lineRule="exact"/>
        <w:ind w:firstLine="640" w:firstLineChars="200"/>
        <w:jc w:val="both"/>
        <w:textAlignment w:val="auto"/>
        <w:outlineLvl w:val="0"/>
        <w:rPr>
          <w:rFonts w:hint="eastAsia" w:ascii="黑体" w:hAnsi="黑体" w:eastAsia="黑体" w:cs="黑体"/>
          <w:sz w:val="32"/>
          <w:szCs w:val="32"/>
          <w:lang w:val="en-US" w:eastAsia="zh-CN"/>
        </w:rPr>
      </w:pPr>
      <w:bookmarkStart w:id="67" w:name="_Toc17118"/>
      <w:r>
        <w:rPr>
          <w:rFonts w:hint="eastAsia" w:ascii="黑体" w:hAnsi="黑体" w:eastAsia="黑体" w:cs="黑体"/>
          <w:sz w:val="32"/>
          <w:szCs w:val="32"/>
          <w:lang w:val="en-US" w:eastAsia="zh-CN"/>
        </w:rPr>
        <w:t>七、事故整改和防范措施</w:t>
      </w:r>
      <w:bookmarkEnd w:id="67"/>
    </w:p>
    <w:p w14:paraId="4F3E69F3">
      <w:pPr>
        <w:keepNext w:val="0"/>
        <w:keepLines w:val="0"/>
        <w:pageBreakBefore w:val="0"/>
        <w:widowControl w:val="0"/>
        <w:kinsoku/>
        <w:wordWrap/>
        <w:overflowPunct/>
        <w:autoSpaceDE/>
        <w:autoSpaceDN/>
        <w:bidi w:val="0"/>
        <w:spacing w:line="560" w:lineRule="exact"/>
        <w:ind w:firstLine="640" w:firstLineChars="200"/>
        <w:jc w:val="both"/>
        <w:textAlignment w:val="auto"/>
        <w:rPr>
          <w:rFonts w:ascii="微软雅黑" w:hAnsi="微软雅黑" w:eastAsia="微软雅黑" w:cs="微软雅黑"/>
          <w:i w:val="0"/>
          <w:iCs w:val="0"/>
          <w:caps w:val="0"/>
          <w:color w:val="333333"/>
          <w:spacing w:val="0"/>
          <w:sz w:val="24"/>
          <w:szCs w:val="24"/>
          <w:shd w:val="clear" w:fill="FFFFFF"/>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（一）</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坤建劳务公司</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要深刻汲取本次事故教训，认真分析事故原因，依法依规配足配齐安全生产专职管理人员，严禁无证人员上岗作业，强化从业人员安全教育培训，落实隐患排查治理，确保作业安全。</w:t>
      </w:r>
    </w:p>
    <w:p w14:paraId="27720037">
      <w:pPr>
        <w:keepNext w:val="0"/>
        <w:keepLines w:val="0"/>
        <w:pageBreakBefore w:val="0"/>
        <w:widowControl w:val="0"/>
        <w:kinsoku/>
        <w:wordWrap/>
        <w:overflowPunct/>
        <w:autoSpaceDE/>
        <w:autoSpaceDN/>
        <w:bidi w:val="0"/>
        <w:spacing w:line="560" w:lineRule="exact"/>
        <w:ind w:firstLine="640" w:firstLineChars="200"/>
        <w:jc w:val="both"/>
        <w:textAlignment w:val="auto"/>
        <w:rPr>
          <w:rFonts w:ascii="微软雅黑" w:hAnsi="微软雅黑" w:eastAsia="微软雅黑" w:cs="微软雅黑"/>
          <w:i w:val="0"/>
          <w:iCs w:val="0"/>
          <w:caps w:val="0"/>
          <w:color w:val="333333"/>
          <w:spacing w:val="0"/>
          <w:sz w:val="24"/>
          <w:szCs w:val="24"/>
          <w:shd w:val="clear" w:fill="FFFFFF"/>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（二）</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天晟达劳务公司</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要深刻汲取本次事故教训，认真分析事故原因，在具备劳务分包资格的情况下承接相应业务，依法依规配足配齐安全生产专职管理人员，强化从业人员安全教育培训，落实隐患排查治理，确保作业安全。</w:t>
      </w:r>
    </w:p>
    <w:p w14:paraId="557BFB50">
      <w:pPr>
        <w:keepNext w:val="0"/>
        <w:keepLines w:val="0"/>
        <w:pageBreakBefore w:val="0"/>
        <w:widowControl w:val="0"/>
        <w:kinsoku/>
        <w:wordWrap/>
        <w:overflowPunct/>
        <w:autoSpaceDE/>
        <w:autoSpaceDN/>
        <w:bidi w:val="0"/>
        <w:spacing w:line="560" w:lineRule="exact"/>
        <w:ind w:firstLine="640" w:firstLineChars="200"/>
        <w:jc w:val="both"/>
        <w:textAlignment w:val="auto"/>
        <w:rPr>
          <w:rFonts w:ascii="微软雅黑" w:hAnsi="微软雅黑" w:eastAsia="微软雅黑" w:cs="微软雅黑"/>
          <w:i w:val="0"/>
          <w:iCs w:val="0"/>
          <w:caps w:val="0"/>
          <w:color w:val="333333"/>
          <w:spacing w:val="0"/>
          <w:sz w:val="24"/>
          <w:szCs w:val="24"/>
          <w:shd w:val="clear" w:fill="FFFFFF"/>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（三）</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欣易彩建筑公司</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要深刻汲取本次事故教训，认真分析事故原因，强化从业人员安全教育培训，严格落实</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安全生产统一协调、管理，</w:t>
      </w:r>
      <w:r>
        <w:rPr>
          <w:rFonts w:hint="eastAsia" w:ascii="仿宋_GB2312" w:hAnsi="仿宋_GB2312" w:eastAsia="仿宋_GB2312" w:cs="仿宋_GB2312"/>
          <w:color w:val="000000" w:themeColor="text1"/>
          <w:kern w:val="2"/>
          <w:sz w:val="32"/>
          <w:szCs w:val="32"/>
          <w:u w:val="none"/>
          <w:lang w:val="en-US" w:eastAsia="zh-CN" w:bidi="ar-SA"/>
          <w14:textFill>
            <w14:solidFill>
              <w14:schemeClr w14:val="tx1"/>
            </w14:solidFill>
          </w14:textFill>
        </w:rPr>
        <w:t>强化承包单位安全管理，</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及时发现并督促落实</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隐患整改，确保生产安全。</w:t>
      </w:r>
    </w:p>
    <w:p w14:paraId="584FB9E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（四）</w:t>
      </w:r>
      <w:r>
        <w:rPr>
          <w:rFonts w:hint="eastAsia" w:ascii="仿宋_GB2312" w:hAnsi="仿宋_GB2312" w:eastAsia="仿宋_GB2312" w:cs="仿宋_GB2312"/>
          <w:b/>
          <w:bCs/>
          <w:color w:val="000000" w:themeColor="text1"/>
          <w:kern w:val="2"/>
          <w:sz w:val="32"/>
          <w:szCs w:val="32"/>
          <w:highlight w:val="none"/>
          <w:lang w:val="en-US" w:eastAsia="zh-CN" w:bidi="ar-SA"/>
          <w14:textFill>
            <w14:solidFill>
              <w14:schemeClr w14:val="tx1"/>
            </w14:solidFill>
          </w14:textFill>
        </w:rPr>
        <w:t>庞源机械公司</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要深刻汲取本次事故教训，认真分析事故原因，从</w:t>
      </w:r>
      <w:r>
        <w:rPr>
          <w:rFonts w:hint="eastAsia" w:ascii="仿宋_GB2312" w:hAnsi="仿宋_GB2312" w:eastAsia="仿宋_GB2312" w:cs="仿宋_GB2312"/>
          <w:color w:val="000000" w:themeColor="text1"/>
          <w:kern w:val="2"/>
          <w:sz w:val="32"/>
          <w:szCs w:val="32"/>
          <w:u w:val="none"/>
          <w:lang w:val="en-US" w:eastAsia="zh-CN" w:bidi="ar-SA"/>
          <w14:textFill>
            <w14:solidFill>
              <w14:schemeClr w14:val="tx1"/>
            </w14:solidFill>
          </w14:textFill>
        </w:rPr>
        <w:t>严生产经营项目承包单位资质审核，</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严禁违法发包，要</w:t>
      </w:r>
      <w:r>
        <w:rPr>
          <w:rFonts w:hint="eastAsia" w:ascii="仿宋_GB2312" w:hAnsi="仿宋_GB2312" w:eastAsia="仿宋_GB2312" w:cs="仿宋_GB2312"/>
          <w:color w:val="000000" w:themeColor="text1"/>
          <w:kern w:val="2"/>
          <w:sz w:val="32"/>
          <w:szCs w:val="32"/>
          <w:u w:val="none"/>
          <w:lang w:val="en-US" w:eastAsia="zh-CN" w:bidi="ar-SA"/>
          <w14:textFill>
            <w14:solidFill>
              <w14:schemeClr w14:val="tx1"/>
            </w14:solidFill>
          </w14:textFill>
        </w:rPr>
        <w:t>强化安全管理，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依法依规配足配齐安全生产专职管理人员，确保生产安全。</w:t>
      </w:r>
    </w:p>
    <w:p w14:paraId="6888D367">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（五）</w:t>
      </w:r>
      <w:r>
        <w:rPr>
          <w:rFonts w:hint="eastAsia" w:ascii="仿宋_GB2312" w:hAnsi="仿宋_GB2312" w:eastAsia="仿宋_GB2312" w:cs="仿宋_GB2312"/>
          <w:b/>
          <w:bCs/>
          <w:color w:val="000000" w:themeColor="text1"/>
          <w:kern w:val="2"/>
          <w:sz w:val="32"/>
          <w:szCs w:val="32"/>
          <w:highlight w:val="none"/>
          <w:lang w:val="en-US" w:eastAsia="zh-CN" w:bidi="ar-SA"/>
          <w14:textFill>
            <w14:solidFill>
              <w14:schemeClr w14:val="tx1"/>
            </w14:solidFill>
          </w14:textFill>
        </w:rPr>
        <w:t>青山监理公司</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要深刻汲取本次事故教训，认真分析事故原因，强化项目工程分包单位</w:t>
      </w:r>
      <w:r>
        <w:rPr>
          <w:rFonts w:hint="eastAsia" w:ascii="仿宋_GB2312" w:hAnsi="仿宋_GB2312" w:eastAsia="仿宋_GB2312" w:cs="仿宋_GB2312"/>
          <w:color w:val="000000" w:themeColor="text1"/>
          <w:kern w:val="2"/>
          <w:sz w:val="32"/>
          <w:szCs w:val="32"/>
          <w:u w:val="none"/>
          <w:lang w:val="en-US" w:eastAsia="zh-CN" w:bidi="ar-SA"/>
          <w14:textFill>
            <w14:solidFill>
              <w14:schemeClr w14:val="tx1"/>
            </w14:solidFill>
          </w14:textFill>
        </w:rPr>
        <w:t>资质审核，严格执行安全监理工作制度，加大安全隐患督促整改力度，保证生产安全。</w:t>
      </w:r>
    </w:p>
    <w:p w14:paraId="04B6E897">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（六）</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区资建局</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要深刻汲取事故教训，深入剖析事故原因，以案为鉴，加大对房建项目施工作业的安全检查监管力度和深度，督促企业严格落实安全生产主体责任，坚决防范安全事故发生。</w:t>
      </w:r>
    </w:p>
    <w:p w14:paraId="681EC4B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sectPr>
          <w:footerReference r:id="rId6" w:type="default"/>
          <w:pgSz w:w="11906" w:h="16838"/>
          <w:pgMar w:top="2098" w:right="1304" w:bottom="1984" w:left="1587" w:header="851" w:footer="992" w:gutter="0"/>
          <w:pgNumType w:fmt="decimal" w:start="1"/>
          <w:cols w:space="0" w:num="1"/>
          <w:rtlGutter w:val="0"/>
          <w:docGrid w:type="lines" w:linePitch="312" w:charSpace="0"/>
        </w:sectPr>
      </w:pPr>
    </w:p>
    <w:p w14:paraId="2BBA7BA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68" w:name="_GoBack"/>
      <w:bookmarkEnd w:id="68"/>
    </w:p>
    <w:p w14:paraId="13A3A8B7">
      <w:pPr>
        <w:pStyle w:val="17"/>
        <w:keepNext w:val="0"/>
        <w:keepLines w:val="0"/>
        <w:pageBreakBefore w:val="0"/>
        <w:widowControl w:val="0"/>
        <w:kinsoku/>
        <w:wordWrap w:val="0"/>
        <w:overflowPunct/>
        <w:autoSpaceDE/>
        <w:autoSpaceDN/>
        <w:bidi w:val="0"/>
        <w:spacing w:line="560" w:lineRule="exact"/>
        <w:ind w:left="0" w:leftChars="0" w:firstLine="0" w:firstLineChars="0"/>
        <w:jc w:val="both"/>
        <w:textAlignment w:val="auto"/>
        <w:rPr>
          <w:rFonts w:hint="default" w:ascii="仿宋_GB2312" w:hAnsi="仿宋_GB2312" w:eastAsia="仿宋_GB2312" w:cs="仿宋_GB2312"/>
          <w:b w:val="0"/>
          <w:bCs w:val="0"/>
          <w:color w:val="000000" w:themeColor="text1"/>
          <w:sz w:val="32"/>
          <w:szCs w:val="32"/>
          <w:lang w:val="en-US" w:eastAsia="zh-CN"/>
          <w14:textFill>
            <w14:solidFill>
              <w14:schemeClr w14:val="tx1"/>
            </w14:solidFill>
          </w14:textFill>
        </w:rPr>
      </w:pPr>
    </w:p>
    <w:sectPr>
      <w:footerReference r:id="rId7" w:type="default"/>
      <w:pgSz w:w="11906" w:h="16838"/>
      <w:pgMar w:top="2098" w:right="1304" w:bottom="1984" w:left="1587" w:header="851" w:footer="992"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713E5">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6F6C69">
                          <w:pPr>
                            <w:pStyle w:val="6"/>
                            <w:rPr>
                              <w:rFonts w:hint="eastAsia" w:ascii="宋体" w:hAnsi="宋体" w:eastAsia="宋体" w:cs="宋体"/>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126F6C69">
                    <w:pPr>
                      <w:pStyle w:val="6"/>
                      <w:rPr>
                        <w:rFonts w:hint="eastAsia" w:ascii="宋体" w:hAnsi="宋体" w:eastAsia="宋体" w:cs="宋体"/>
                        <w:sz w:val="28"/>
                        <w:szCs w:val="28"/>
                      </w:rPr>
                    </w:pP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56CAD2">
                          <w:pPr>
                            <w:pStyle w:val="6"/>
                            <w:rPr>
                              <w:rFonts w:hint="eastAsia" w:ascii="宋体" w:hAnsi="宋体" w:eastAsia="宋体" w:cs="宋体"/>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2356CAD2">
                    <w:pPr>
                      <w:pStyle w:val="6"/>
                      <w:rPr>
                        <w:rFonts w:hint="eastAsia" w:ascii="宋体" w:hAnsi="宋体" w:eastAsia="宋体" w:cs="宋体"/>
                        <w:sz w:val="28"/>
                        <w:szCs w:val="28"/>
                      </w:rPr>
                    </w:pP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141602">
                          <w:pPr>
                            <w:pStyle w:val="6"/>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69141602">
                    <w:pPr>
                      <w:pStyle w:val="6"/>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6BC078">
    <w:pPr>
      <w:pStyle w:val="6"/>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7FB5F8">
                          <w:pPr>
                            <w:pStyle w:val="6"/>
                            <w:rPr>
                              <w:rFonts w:hint="eastAsia" w:ascii="宋体" w:hAnsi="宋体" w:eastAsia="宋体" w:cs="宋体"/>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47FB5F8">
                    <w:pPr>
                      <w:pStyle w:val="6"/>
                      <w:rPr>
                        <w:rFonts w:hint="eastAsia" w:ascii="宋体" w:hAnsi="宋体" w:eastAsia="宋体" w:cs="宋体"/>
                        <w:sz w:val="28"/>
                        <w:szCs w:val="28"/>
                      </w:rPr>
                    </w:pPr>
                  </w:p>
                </w:txbxContent>
              </v:textbox>
            </v:shape>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633915">
                          <w:pPr>
                            <w:pStyle w:val="6"/>
                            <w:rPr>
                              <w:rFonts w:hint="eastAsia" w:ascii="宋体" w:hAnsi="宋体" w:eastAsia="宋体" w:cs="宋体"/>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37633915">
                    <w:pPr>
                      <w:pStyle w:val="6"/>
                      <w:rPr>
                        <w:rFonts w:hint="eastAsia" w:ascii="宋体" w:hAnsi="宋体" w:eastAsia="宋体" w:cs="宋体"/>
                        <w:sz w:val="28"/>
                        <w:szCs w:val="28"/>
                      </w:rPr>
                    </w:pPr>
                  </w:p>
                </w:txbxContent>
              </v:textbox>
            </v:shape>
          </w:pict>
        </mc:Fallback>
      </mc:AlternateContent>
    </w: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A6890C">
                          <w:pPr>
                            <w:pStyle w:val="6"/>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5FA6890C">
                    <w:pPr>
                      <w:pStyle w:val="6"/>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049329">
    <w:pPr>
      <w:pStyle w:val="6"/>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77F406">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7377F406">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p>
                </w:txbxContent>
              </v:textbox>
            </v:shape>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CBFAF6">
                          <w:pPr>
                            <w:pStyle w:val="6"/>
                            <w:rPr>
                              <w:rFonts w:hint="eastAsia" w:ascii="宋体" w:hAnsi="宋体" w:eastAsia="宋体" w:cs="宋体"/>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ACBFAF6">
                    <w:pPr>
                      <w:pStyle w:val="6"/>
                      <w:rPr>
                        <w:rFonts w:hint="eastAsia" w:ascii="宋体" w:hAnsi="宋体" w:eastAsia="宋体" w:cs="宋体"/>
                        <w:sz w:val="28"/>
                        <w:szCs w:val="28"/>
                      </w:rPr>
                    </w:pPr>
                  </w:p>
                </w:txbxContent>
              </v:textbox>
            </v:shape>
          </w:pict>
        </mc:Fallback>
      </mc:AlternateContent>
    </w: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A078EA">
                          <w:pPr>
                            <w:pStyle w:val="6"/>
                            <w:rPr>
                              <w:rFonts w:hint="eastAsia" w:ascii="宋体" w:hAnsi="宋体" w:eastAsia="宋体" w:cs="宋体"/>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EA078EA">
                    <w:pPr>
                      <w:pStyle w:val="6"/>
                      <w:rPr>
                        <w:rFonts w:hint="eastAsia" w:ascii="宋体" w:hAnsi="宋体" w:eastAsia="宋体" w:cs="宋体"/>
                        <w:sz w:val="28"/>
                        <w:szCs w:val="28"/>
                      </w:rPr>
                    </w:pPr>
                  </w:p>
                </w:txbxContent>
              </v:textbox>
            </v:shape>
          </w:pict>
        </mc:Fallback>
      </mc:AlternateContent>
    </w: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5C4AA7">
                          <w:pPr>
                            <w:pStyle w:val="6"/>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25C4AA7">
                    <w:pPr>
                      <w:pStyle w:val="6"/>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C68D51">
    <w:pPr>
      <w:pStyle w:val="6"/>
    </w:pP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D0B3C7">
                          <w:pPr>
                            <w:pStyle w:val="6"/>
                            <w:rPr>
                              <w:rFonts w:hint="eastAsia" w:ascii="宋体" w:hAnsi="宋体" w:eastAsia="宋体" w:cs="宋体"/>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4ED0B3C7">
                    <w:pPr>
                      <w:pStyle w:val="6"/>
                      <w:rPr>
                        <w:rFonts w:hint="eastAsia" w:ascii="宋体" w:hAnsi="宋体" w:eastAsia="宋体" w:cs="宋体"/>
                        <w:sz w:val="28"/>
                        <w:szCs w:val="28"/>
                      </w:rPr>
                    </w:pPr>
                  </w:p>
                </w:txbxContent>
              </v:textbox>
            </v:shape>
          </w:pict>
        </mc:Fallback>
      </mc:AlternateContent>
    </w:r>
    <w:r>
      <w:rPr>
        <w:sz w:val="1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D46889">
                          <w:pPr>
                            <w:pStyle w:val="6"/>
                            <w:rPr>
                              <w:rFonts w:hint="eastAsia" w:ascii="宋体" w:hAnsi="宋体" w:eastAsia="宋体" w:cs="宋体"/>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29D46889">
                    <w:pPr>
                      <w:pStyle w:val="6"/>
                      <w:rPr>
                        <w:rFonts w:hint="eastAsia" w:ascii="宋体" w:hAnsi="宋体" w:eastAsia="宋体" w:cs="宋体"/>
                        <w:sz w:val="28"/>
                        <w:szCs w:val="28"/>
                      </w:rPr>
                    </w:pPr>
                  </w:p>
                </w:txbxContent>
              </v:textbox>
            </v:shape>
          </w:pict>
        </mc:Fallback>
      </mc:AlternateContent>
    </w:r>
    <w:r>
      <w:rPr>
        <w:sz w:val="1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02754F">
                          <w:pPr>
                            <w:pStyle w:val="6"/>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3A02754F">
                    <w:pPr>
                      <w:pStyle w:val="6"/>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74">
    <w:p>
      <w:r>
        <w:separator/>
      </w:r>
    </w:p>
  </w:footnote>
  <w:footnote w:type="continuationSeparator" w:id="75">
    <w:p>
      <w:r>
        <w:continuationSeparator/>
      </w:r>
    </w:p>
  </w:footnote>
  <w:footnote w:id="0">
    <w:p w14:paraId="54D3E108">
      <w:pPr>
        <w:pStyle w:val="9"/>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]《住房和城乡建设部办公厅关于做好建筑业</w:t>
      </w:r>
      <w:r>
        <w:rPr>
          <w:rFonts w:hint="default" w:ascii="宋体" w:hAnsi="宋体" w:eastAsia="宋体" w:cs="宋体"/>
          <w:i w:val="0"/>
          <w:iCs w:val="0"/>
          <w:caps w:val="0"/>
          <w:color w:val="333333"/>
          <w:spacing w:val="0"/>
          <w:sz w:val="18"/>
          <w:szCs w:val="18"/>
          <w:shd w:val="clear" w:fill="FFFFFF"/>
          <w:lang w:val="en-US" w:eastAsia="zh-CN"/>
        </w:rPr>
        <w:t>“证照分离”改革衔接有关工作的通知</w:t>
      </w:r>
      <w:r>
        <w:rPr>
          <w:rFonts w:hint="eastAsia" w:ascii="宋体" w:hAnsi="宋体" w:eastAsia="宋体" w:cs="宋体"/>
          <w:i w:val="0"/>
          <w:iCs w:val="0"/>
          <w:caps w:val="0"/>
          <w:color w:val="333333"/>
          <w:spacing w:val="0"/>
          <w:sz w:val="18"/>
          <w:szCs w:val="18"/>
          <w:shd w:val="clear" w:fill="FFFFFF"/>
          <w:lang w:val="en-US" w:eastAsia="zh-CN"/>
        </w:rPr>
        <w:t>》“三、自2021年7月1日起，建筑业企业施工劳务资质由审批制改为备案制，由企业注册地设区市住房和城乡建设主管部门负责办理备案手续。企业提交企业名称、统一社会信用代码、办公地址、法定代表人姓名及联系方式、企业净资产、技术负责人、技术工人等信息材料后，备案部门应当场办理备案手续，并核发建筑业企业施工劳务资质证书。企业完成备案手续并取得资质证书后，即可承接施工劳务作业。”</w:t>
      </w:r>
    </w:p>
  </w:footnote>
  <w:footnote w:id="1">
    <w:p w14:paraId="405BB130">
      <w:pPr>
        <w:pStyle w:val="9"/>
        <w:snapToGrid w:val="0"/>
        <w:rPr>
          <w:rFonts w:hint="default"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w:t>
      </w:r>
      <w:r>
        <w:rPr>
          <w:rFonts w:hint="default"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t>湖北省房屋市政工程危险性较大的分部分项工程安全管理实施细则</w:t>
      </w:r>
      <w:r>
        <w:rPr>
          <w:rFonts w:hint="default"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t>第五条第三项第二目：危大工程范围包括：（三）起重吊装及起重机械安装拆卸工程 2.采用起重机械进行安装的工程。</w:t>
      </w:r>
    </w:p>
  </w:footnote>
  <w:footnote w:id="2">
    <w:p w14:paraId="2EBCA519">
      <w:pPr>
        <w:pStyle w:val="9"/>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w:t>
      </w:r>
      <w:r>
        <w:rPr>
          <w:rFonts w:hint="default" w:ascii="宋体" w:hAnsi="宋体" w:eastAsia="宋体" w:cs="宋体"/>
          <w:i w:val="0"/>
          <w:iCs w:val="0"/>
          <w:caps w:val="0"/>
          <w:color w:val="333333"/>
          <w:spacing w:val="0"/>
          <w:sz w:val="18"/>
          <w:szCs w:val="18"/>
          <w:shd w:val="clear" w:fill="FFFFFF"/>
          <w:lang w:val="en-US" w:eastAsia="zh-CN"/>
        </w:rPr>
        <w:t>《建筑施工特种作业人员管理规定（建质〔2008〕75号）》第四条</w:t>
      </w:r>
      <w:r>
        <w:rPr>
          <w:rFonts w:hint="eastAsia" w:ascii="宋体" w:hAnsi="宋体" w:eastAsia="宋体" w:cs="宋体"/>
          <w:i w:val="0"/>
          <w:iCs w:val="0"/>
          <w:caps w:val="0"/>
          <w:color w:val="333333"/>
          <w:spacing w:val="0"/>
          <w:sz w:val="18"/>
          <w:szCs w:val="18"/>
          <w:shd w:val="clear" w:fill="FFFFFF"/>
          <w:lang w:val="en-US" w:eastAsia="zh-CN"/>
        </w:rPr>
        <w:t>：</w:t>
      </w:r>
      <w:r>
        <w:rPr>
          <w:rFonts w:hint="default" w:ascii="宋体" w:hAnsi="宋体" w:eastAsia="宋体" w:cs="宋体"/>
          <w:i w:val="0"/>
          <w:iCs w:val="0"/>
          <w:caps w:val="0"/>
          <w:color w:val="333333"/>
          <w:spacing w:val="0"/>
          <w:sz w:val="18"/>
          <w:szCs w:val="18"/>
          <w:shd w:val="clear" w:fill="FFFFFF"/>
          <w:lang w:val="en-US" w:eastAsia="zh-CN"/>
        </w:rPr>
        <w:t>建筑施工特种作业人员必须经建设主管部门考核合格，取得建筑施工特种作业人员操作资格证书（以下简称“资格证书”），方可上岗从事相应作业</w:t>
      </w:r>
    </w:p>
  </w:footnote>
  <w:footnote w:id="3">
    <w:p w14:paraId="6EC73C65">
      <w:pPr>
        <w:pStyle w:val="9"/>
        <w:snapToGrid w:val="0"/>
        <w:rPr>
          <w:rFonts w:hint="default"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]天晟达劳务公司</w:t>
      </w:r>
      <w:r>
        <w:rPr>
          <w:rFonts w:hint="default"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t>塔吊司机与指挥岗位安全操作规程</w:t>
      </w:r>
      <w:r>
        <w:rPr>
          <w:rFonts w:hint="default"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t>“一、通用安全准则（司机、指挥共同遵守） 3.信号统一：严格执行国标</w:t>
      </w:r>
      <w:r>
        <w:rPr>
          <w:rFonts w:hint="eastAsia" w:ascii="Times New Roman" w:hAnsi="Times New Roman" w:eastAsia="宋体" w:cs="Times New Roman"/>
          <w:i w:val="0"/>
          <w:iCs w:val="0"/>
          <w:caps w:val="0"/>
          <w:color w:val="333333"/>
          <w:spacing w:val="0"/>
          <w:sz w:val="18"/>
          <w:szCs w:val="18"/>
          <w:shd w:val="clear" w:fill="FFFFFF"/>
          <w:lang w:val="en-US" w:eastAsia="zh-CN"/>
        </w:rPr>
        <w:t>GB</w:t>
      </w:r>
      <w:r>
        <w:rPr>
          <w:rFonts w:hint="eastAsia" w:ascii="宋体" w:hAnsi="宋体" w:eastAsia="宋体" w:cs="宋体"/>
          <w:i w:val="0"/>
          <w:iCs w:val="0"/>
          <w:caps w:val="0"/>
          <w:color w:val="333333"/>
          <w:spacing w:val="0"/>
          <w:sz w:val="18"/>
          <w:szCs w:val="18"/>
          <w:shd w:val="clear" w:fill="FFFFFF"/>
          <w:lang w:val="en-US" w:eastAsia="zh-CN"/>
        </w:rPr>
        <w:t>/</w:t>
      </w:r>
      <w:r>
        <w:rPr>
          <w:rFonts w:hint="eastAsia" w:ascii="Times New Roman" w:hAnsi="Times New Roman" w:eastAsia="宋体" w:cs="Times New Roman"/>
          <w:i w:val="0"/>
          <w:iCs w:val="0"/>
          <w:caps w:val="0"/>
          <w:color w:val="333333"/>
          <w:spacing w:val="0"/>
          <w:sz w:val="18"/>
          <w:szCs w:val="18"/>
          <w:shd w:val="clear" w:fill="FFFFFF"/>
          <w:lang w:val="en-US" w:eastAsia="zh-CN"/>
        </w:rPr>
        <w:t>T</w:t>
      </w:r>
      <w:r>
        <w:rPr>
          <w:rFonts w:hint="eastAsia" w:ascii="宋体" w:hAnsi="宋体" w:eastAsia="宋体" w:cs="宋体"/>
          <w:i w:val="0"/>
          <w:iCs w:val="0"/>
          <w:caps w:val="0"/>
          <w:color w:val="333333"/>
          <w:spacing w:val="0"/>
          <w:sz w:val="18"/>
          <w:szCs w:val="18"/>
          <w:shd w:val="clear" w:fill="FFFFFF"/>
          <w:lang w:val="en-US" w:eastAsia="zh-CN"/>
        </w:rPr>
        <w:t xml:space="preserve"> 5082-2019信号标准，采用手势、旗语或对讲机通讯，司机仅服从现场唯一指定指挥人员指令，信号不清、不明立即停止作业。”</w:t>
      </w:r>
    </w:p>
  </w:footnote>
  <w:footnote w:id="4">
    <w:p w14:paraId="44F62FF8">
      <w:pPr>
        <w:pStyle w:val="9"/>
        <w:snapToGrid w:val="0"/>
        <w:rPr>
          <w:rFonts w:hint="default"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w:t>
      </w:r>
      <w:r>
        <w:rPr>
          <w:rFonts w:hint="default" w:ascii="宋体" w:hAnsi="宋体" w:eastAsia="宋体" w:cs="宋体"/>
          <w:i w:val="0"/>
          <w:iCs w:val="0"/>
          <w:caps w:val="0"/>
          <w:color w:val="333333"/>
          <w:spacing w:val="0"/>
          <w:sz w:val="18"/>
          <w:szCs w:val="18"/>
          <w:shd w:val="clear" w:fill="FFFFFF"/>
          <w:lang w:val="en-US" w:eastAsia="zh-CN"/>
        </w:rPr>
        <w:t>建筑施工企业安全生产管理机构设置及专职安全生产管理人员配备办法</w:t>
      </w:r>
      <w:r>
        <w:rPr>
          <w:rFonts w:hint="eastAsia" w:ascii="宋体" w:hAnsi="宋体" w:eastAsia="宋体" w:cs="宋体"/>
          <w:i w:val="0"/>
          <w:iCs w:val="0"/>
          <w:caps w:val="0"/>
          <w:color w:val="333333"/>
          <w:spacing w:val="0"/>
          <w:sz w:val="18"/>
          <w:szCs w:val="18"/>
          <w:shd w:val="clear" w:fill="FFFFFF"/>
          <w:lang w:val="en-US" w:eastAsia="zh-CN"/>
        </w:rPr>
        <w:t>（2026年3月26日废除）》第十四条第二项：</w:t>
      </w:r>
      <w:r>
        <w:rPr>
          <w:rFonts w:hint="default" w:ascii="宋体" w:hAnsi="宋体" w:eastAsia="宋体" w:cs="宋体"/>
          <w:i w:val="0"/>
          <w:iCs w:val="0"/>
          <w:caps w:val="0"/>
          <w:color w:val="333333"/>
          <w:spacing w:val="0"/>
          <w:sz w:val="18"/>
          <w:szCs w:val="18"/>
          <w:shd w:val="clear" w:fill="FFFFFF"/>
          <w:lang w:val="en-US" w:eastAsia="zh-CN"/>
        </w:rPr>
        <w:t>分包单位配备项目专职安全生产管理人员应当满足下列要求：（二）劳务分包单位施工人员在50人以下的，应当配备1名专职安全生产管理人员；50人-200人的，应当配备2名专职安全生产管理人员；200人及以上的，应当配备3名及以上专职安全生产管理人员，并根据所承担的分部分项工程施工危险实际情况增加，不得少于工程施工人员总人数的5‰</w:t>
      </w:r>
      <w:r>
        <w:rPr>
          <w:rFonts w:hint="eastAsia" w:ascii="宋体" w:hAnsi="宋体" w:eastAsia="宋体" w:cs="宋体"/>
          <w:i w:val="0"/>
          <w:iCs w:val="0"/>
          <w:caps w:val="0"/>
          <w:color w:val="333333"/>
          <w:spacing w:val="0"/>
          <w:sz w:val="18"/>
          <w:szCs w:val="18"/>
          <w:shd w:val="clear" w:fill="FFFFFF"/>
          <w:lang w:val="en-US" w:eastAsia="zh-CN"/>
        </w:rPr>
        <w:t>。</w:t>
      </w:r>
    </w:p>
  </w:footnote>
  <w:footnote w:id="5">
    <w:p w14:paraId="6100B8CD">
      <w:pPr>
        <w:pStyle w:val="9"/>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]《中华人民共和国安全生产法》</w:t>
      </w:r>
      <w:r>
        <w:rPr>
          <w:rFonts w:hint="default" w:ascii="宋体" w:hAnsi="宋体" w:eastAsia="宋体" w:cs="宋体"/>
          <w:i w:val="0"/>
          <w:iCs w:val="0"/>
          <w:caps w:val="0"/>
          <w:color w:val="333333"/>
          <w:spacing w:val="0"/>
          <w:sz w:val="18"/>
          <w:szCs w:val="18"/>
          <w:shd w:val="clear" w:fill="FFFFFF"/>
          <w:lang w:val="en-US" w:eastAsia="zh-CN"/>
        </w:rPr>
        <w:t>第二十八条</w:t>
      </w:r>
      <w:r>
        <w:rPr>
          <w:rFonts w:hint="eastAsia" w:ascii="宋体" w:hAnsi="宋体" w:eastAsia="宋体" w:cs="宋体"/>
          <w:i w:val="0"/>
          <w:iCs w:val="0"/>
          <w:caps w:val="0"/>
          <w:color w:val="333333"/>
          <w:spacing w:val="0"/>
          <w:sz w:val="18"/>
          <w:szCs w:val="18"/>
          <w:shd w:val="clear" w:fill="FFFFFF"/>
          <w:lang w:val="en-US" w:eastAsia="zh-CN"/>
        </w:rPr>
        <w:t>第一款：</w:t>
      </w:r>
      <w:r>
        <w:rPr>
          <w:rFonts w:hint="default" w:ascii="宋体" w:hAnsi="宋体" w:eastAsia="宋体" w:cs="宋体"/>
          <w:i w:val="0"/>
          <w:iCs w:val="0"/>
          <w:caps w:val="0"/>
          <w:color w:val="333333"/>
          <w:spacing w:val="0"/>
          <w:sz w:val="18"/>
          <w:szCs w:val="18"/>
          <w:shd w:val="clear" w:fill="FFFFFF"/>
          <w:lang w:val="en-US" w:eastAsia="zh-CN"/>
        </w:rPr>
        <w:t>生产经营单位应当对从业人员进行安全生产教育和培训，保证从业人员具备必要的安全生产知识，熟悉有关的安全生产规章制度和安全操作规程， 掌握本岗位的安全操作技能，了解事故应急处理措施，知悉自身在安全生产方面的权利和义务。未经安全生产教育和培训合格的从业人员，不得上岗作业。</w:t>
      </w:r>
    </w:p>
  </w:footnote>
  <w:footnote w:id="6">
    <w:p w14:paraId="03AE2871">
      <w:pPr>
        <w:pStyle w:val="9"/>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]《中华人民共和国安全生产法》</w:t>
      </w:r>
      <w:r>
        <w:rPr>
          <w:rFonts w:hint="default" w:ascii="宋体" w:hAnsi="宋体" w:eastAsia="宋体" w:cs="宋体"/>
          <w:i w:val="0"/>
          <w:iCs w:val="0"/>
          <w:caps w:val="0"/>
          <w:color w:val="333333"/>
          <w:spacing w:val="0"/>
          <w:sz w:val="18"/>
          <w:szCs w:val="18"/>
          <w:shd w:val="clear" w:fill="FFFFFF"/>
          <w:lang w:val="en-US" w:eastAsia="zh-CN"/>
        </w:rPr>
        <w:t>第</w:t>
      </w:r>
      <w:r>
        <w:rPr>
          <w:rFonts w:hint="eastAsia" w:ascii="宋体" w:hAnsi="宋体" w:eastAsia="宋体" w:cs="宋体"/>
          <w:i w:val="0"/>
          <w:iCs w:val="0"/>
          <w:caps w:val="0"/>
          <w:color w:val="333333"/>
          <w:spacing w:val="0"/>
          <w:sz w:val="18"/>
          <w:szCs w:val="18"/>
          <w:shd w:val="clear" w:fill="FFFFFF"/>
          <w:lang w:val="en-US" w:eastAsia="zh-CN"/>
        </w:rPr>
        <w:t>四十二条第二款：</w:t>
      </w:r>
      <w:r>
        <w:rPr>
          <w:rFonts w:hint="default" w:ascii="宋体" w:hAnsi="宋体" w:eastAsia="宋体" w:cs="宋体"/>
          <w:i w:val="0"/>
          <w:iCs w:val="0"/>
          <w:caps w:val="0"/>
          <w:color w:val="333333"/>
          <w:spacing w:val="0"/>
          <w:sz w:val="18"/>
          <w:szCs w:val="18"/>
          <w:shd w:val="clear" w:fill="FFFFFF"/>
          <w:lang w:val="en-US" w:eastAsia="zh-CN"/>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footnote>
  <w:footnote w:id="7">
    <w:p w14:paraId="405C0B8D">
      <w:pPr>
        <w:pStyle w:val="9"/>
        <w:snapToGrid w:val="0"/>
        <w:rPr>
          <w:rFonts w:hint="default"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w:t>
      </w:r>
      <w:r>
        <w:rPr>
          <w:rFonts w:hint="default" w:ascii="宋体" w:hAnsi="宋体" w:eastAsia="宋体" w:cs="宋体"/>
          <w:i w:val="0"/>
          <w:iCs w:val="0"/>
          <w:caps w:val="0"/>
          <w:color w:val="333333"/>
          <w:spacing w:val="0"/>
          <w:sz w:val="18"/>
          <w:szCs w:val="18"/>
          <w:shd w:val="clear" w:fill="FFFFFF"/>
          <w:lang w:val="en-US" w:eastAsia="zh-CN"/>
        </w:rPr>
        <w:t>建筑施工企业安全生产管理机构设置及专职安全生产管理人员配备办法</w:t>
      </w:r>
      <w:r>
        <w:rPr>
          <w:rFonts w:hint="eastAsia" w:ascii="宋体" w:hAnsi="宋体" w:eastAsia="宋体" w:cs="宋体"/>
          <w:i w:val="0"/>
          <w:iCs w:val="0"/>
          <w:caps w:val="0"/>
          <w:color w:val="333333"/>
          <w:spacing w:val="0"/>
          <w:sz w:val="18"/>
          <w:szCs w:val="18"/>
          <w:shd w:val="clear" w:fill="FFFFFF"/>
          <w:lang w:val="en-US" w:eastAsia="zh-CN"/>
        </w:rPr>
        <w:t>》（2026年3月26日废除）第十四条第二项：</w:t>
      </w:r>
      <w:r>
        <w:rPr>
          <w:rFonts w:hint="default" w:ascii="宋体" w:hAnsi="宋体" w:eastAsia="宋体" w:cs="宋体"/>
          <w:i w:val="0"/>
          <w:iCs w:val="0"/>
          <w:caps w:val="0"/>
          <w:color w:val="333333"/>
          <w:spacing w:val="0"/>
          <w:sz w:val="18"/>
          <w:szCs w:val="18"/>
          <w:shd w:val="clear" w:fill="FFFFFF"/>
          <w:lang w:val="en-US" w:eastAsia="zh-CN"/>
        </w:rPr>
        <w:t>分包单位配备项目专职安全生产管理人员应当满足下列要求：（二）劳务分包单位施工人员在50人以下的，应当配备1名专职安全生产管理人员；50人-200人的，应当配备2名专职安全生产管理人员；200人及以上的，应当配备3名及以上专职安全生产管理人员，并根据所承担的分部分项工程施工危险实际情况增加，不得少于工程施工人员总人数的5‰</w:t>
      </w:r>
      <w:r>
        <w:rPr>
          <w:rFonts w:hint="eastAsia" w:ascii="宋体" w:hAnsi="宋体" w:eastAsia="宋体" w:cs="宋体"/>
          <w:i w:val="0"/>
          <w:iCs w:val="0"/>
          <w:caps w:val="0"/>
          <w:color w:val="333333"/>
          <w:spacing w:val="0"/>
          <w:sz w:val="18"/>
          <w:szCs w:val="18"/>
          <w:shd w:val="clear" w:fill="FFFFFF"/>
          <w:lang w:val="en-US" w:eastAsia="zh-CN"/>
        </w:rPr>
        <w:t>。</w:t>
      </w:r>
    </w:p>
  </w:footnote>
  <w:footnote w:id="8">
    <w:p w14:paraId="5E153B57">
      <w:pPr>
        <w:pStyle w:val="9"/>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]《中华人民共和国安全生产法》</w:t>
      </w:r>
      <w:r>
        <w:rPr>
          <w:rFonts w:hint="default" w:ascii="宋体" w:hAnsi="宋体" w:eastAsia="宋体" w:cs="宋体"/>
          <w:i w:val="0"/>
          <w:iCs w:val="0"/>
          <w:caps w:val="0"/>
          <w:color w:val="333333"/>
          <w:spacing w:val="0"/>
          <w:sz w:val="18"/>
          <w:szCs w:val="18"/>
          <w:shd w:val="clear" w:fill="FFFFFF"/>
          <w:lang w:val="en-US" w:eastAsia="zh-CN"/>
        </w:rPr>
        <w:t>第二十八条</w:t>
      </w:r>
      <w:r>
        <w:rPr>
          <w:rFonts w:hint="eastAsia" w:ascii="宋体" w:hAnsi="宋体" w:eastAsia="宋体" w:cs="宋体"/>
          <w:i w:val="0"/>
          <w:iCs w:val="0"/>
          <w:caps w:val="0"/>
          <w:color w:val="333333"/>
          <w:spacing w:val="0"/>
          <w:sz w:val="18"/>
          <w:szCs w:val="18"/>
          <w:shd w:val="clear" w:fill="FFFFFF"/>
          <w:lang w:val="en-US" w:eastAsia="zh-CN"/>
        </w:rPr>
        <w:t>第一款：</w:t>
      </w:r>
      <w:r>
        <w:rPr>
          <w:rFonts w:hint="default" w:ascii="宋体" w:hAnsi="宋体" w:eastAsia="宋体" w:cs="宋体"/>
          <w:i w:val="0"/>
          <w:iCs w:val="0"/>
          <w:caps w:val="0"/>
          <w:color w:val="333333"/>
          <w:spacing w:val="0"/>
          <w:sz w:val="18"/>
          <w:szCs w:val="18"/>
          <w:shd w:val="clear" w:fill="FFFFFF"/>
          <w:lang w:val="en-US" w:eastAsia="zh-CN"/>
        </w:rPr>
        <w:t>生产经营单位应当对从业人员进行安全生产教育和培训，保证从业人员具备必要的安全生产知识，熟悉有关的安全生产规章制度和安全操作规程， 掌握本岗位的安全操作技能，了解事故应急处理措施，知悉自身在安全生产方面的权利和义务。未经安全生产教育和培训合格的从业人员，不得上岗作业。</w:t>
      </w:r>
    </w:p>
  </w:footnote>
  <w:footnote w:id="9">
    <w:p w14:paraId="198BE8B2">
      <w:pPr>
        <w:pStyle w:val="9"/>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]《中华人民共和国安全生产法》</w:t>
      </w:r>
      <w:r>
        <w:rPr>
          <w:rFonts w:hint="default" w:ascii="宋体" w:hAnsi="宋体" w:eastAsia="宋体" w:cs="宋体"/>
          <w:i w:val="0"/>
          <w:iCs w:val="0"/>
          <w:caps w:val="0"/>
          <w:color w:val="333333"/>
          <w:spacing w:val="0"/>
          <w:sz w:val="18"/>
          <w:szCs w:val="18"/>
          <w:shd w:val="clear" w:fill="FFFFFF"/>
          <w:lang w:val="en-US" w:eastAsia="zh-CN"/>
        </w:rPr>
        <w:t>第</w:t>
      </w:r>
      <w:r>
        <w:rPr>
          <w:rFonts w:hint="eastAsia" w:ascii="宋体" w:hAnsi="宋体" w:eastAsia="宋体" w:cs="宋体"/>
          <w:i w:val="0"/>
          <w:iCs w:val="0"/>
          <w:caps w:val="0"/>
          <w:color w:val="333333"/>
          <w:spacing w:val="0"/>
          <w:sz w:val="18"/>
          <w:szCs w:val="18"/>
          <w:shd w:val="clear" w:fill="FFFFFF"/>
          <w:lang w:val="en-US" w:eastAsia="zh-CN"/>
        </w:rPr>
        <w:t>四十二条第二款：</w:t>
      </w:r>
      <w:r>
        <w:rPr>
          <w:rFonts w:hint="default" w:ascii="宋体" w:hAnsi="宋体" w:eastAsia="宋体" w:cs="宋体"/>
          <w:i w:val="0"/>
          <w:iCs w:val="0"/>
          <w:caps w:val="0"/>
          <w:color w:val="333333"/>
          <w:spacing w:val="0"/>
          <w:sz w:val="18"/>
          <w:szCs w:val="18"/>
          <w:shd w:val="clear" w:fill="FFFFFF"/>
          <w:lang w:val="en-US" w:eastAsia="zh-CN"/>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footnote>
  <w:footnote w:id="10">
    <w:p w14:paraId="1C96F17A">
      <w:pPr>
        <w:pStyle w:val="9"/>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w:t>
      </w:r>
      <w:r>
        <w:rPr>
          <w:rFonts w:hint="default" w:ascii="宋体" w:hAnsi="宋体" w:eastAsia="宋体" w:cs="宋体"/>
          <w:i w:val="0"/>
          <w:iCs w:val="0"/>
          <w:caps w:val="0"/>
          <w:color w:val="333333"/>
          <w:spacing w:val="0"/>
          <w:sz w:val="18"/>
          <w:szCs w:val="18"/>
          <w:shd w:val="clear" w:fill="FFFFFF"/>
          <w:lang w:val="en-US" w:eastAsia="zh-CN"/>
        </w:rPr>
        <w:t>武汉市建设工程安全生产管理办法</w:t>
      </w:r>
      <w:r>
        <w:rPr>
          <w:rFonts w:hint="eastAsia" w:ascii="宋体" w:hAnsi="宋体" w:eastAsia="宋体" w:cs="宋体"/>
          <w:i w:val="0"/>
          <w:iCs w:val="0"/>
          <w:caps w:val="0"/>
          <w:color w:val="333333"/>
          <w:spacing w:val="0"/>
          <w:sz w:val="18"/>
          <w:szCs w:val="18"/>
          <w:shd w:val="clear" w:fill="FFFFFF"/>
          <w:lang w:val="en-US" w:eastAsia="zh-CN"/>
        </w:rPr>
        <w:t>》</w:t>
      </w:r>
      <w:r>
        <w:rPr>
          <w:rFonts w:hint="default" w:ascii="宋体" w:hAnsi="宋体" w:eastAsia="宋体" w:cs="宋体"/>
          <w:i w:val="0"/>
          <w:iCs w:val="0"/>
          <w:caps w:val="0"/>
          <w:color w:val="333333"/>
          <w:spacing w:val="0"/>
          <w:sz w:val="18"/>
          <w:szCs w:val="18"/>
          <w:shd w:val="clear" w:fill="FFFFFF"/>
          <w:lang w:val="en-US" w:eastAsia="zh-CN"/>
        </w:rPr>
        <w:t>第二十七条</w:t>
      </w:r>
      <w:r>
        <w:rPr>
          <w:rFonts w:hint="eastAsia" w:ascii="宋体" w:hAnsi="宋体" w:eastAsia="宋体" w:cs="宋体"/>
          <w:i w:val="0"/>
          <w:iCs w:val="0"/>
          <w:caps w:val="0"/>
          <w:color w:val="333333"/>
          <w:spacing w:val="0"/>
          <w:sz w:val="18"/>
          <w:szCs w:val="18"/>
          <w:shd w:val="clear" w:fill="FFFFFF"/>
          <w:lang w:val="en-US" w:eastAsia="zh-CN"/>
        </w:rPr>
        <w:t>：</w:t>
      </w:r>
      <w:r>
        <w:rPr>
          <w:rFonts w:hint="default" w:ascii="宋体" w:hAnsi="宋体" w:eastAsia="宋体" w:cs="宋体"/>
          <w:i w:val="0"/>
          <w:iCs w:val="0"/>
          <w:caps w:val="0"/>
          <w:color w:val="333333"/>
          <w:spacing w:val="0"/>
          <w:sz w:val="18"/>
          <w:szCs w:val="18"/>
          <w:shd w:val="clear" w:fill="FFFFFF"/>
          <w:lang w:val="en-US" w:eastAsia="zh-CN"/>
        </w:rPr>
        <w:t>施工单位应当定期对管理人员和作业人员进行安全生产教育培训，督促其遵守工程建设强制性标准、规章制度和操作规程。进入新的岗位或者新的施工现场前，施工单位应当对作业人员进行安全生产教育培训，未经安全生产教育培训或者教育培训考核不合格的人员，不得上岗。</w:t>
      </w:r>
    </w:p>
  </w:footnote>
  <w:footnote w:id="11">
    <w:p w14:paraId="37398D78">
      <w:pPr>
        <w:pStyle w:val="9"/>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]《中华人民共和国安全生产法》第四十九条第二款：生</w:t>
      </w:r>
      <w:r>
        <w:rPr>
          <w:rFonts w:hint="default" w:ascii="宋体" w:hAnsi="宋体" w:eastAsia="宋体" w:cs="宋体"/>
          <w:i w:val="0"/>
          <w:iCs w:val="0"/>
          <w:caps w:val="0"/>
          <w:color w:val="333333"/>
          <w:spacing w:val="0"/>
          <w:sz w:val="18"/>
          <w:szCs w:val="18"/>
          <w:shd w:val="clear" w:fill="FFFFFF"/>
          <w:lang w:val="en-US" w:eastAsia="zh-CN"/>
        </w:rPr>
        <w:t>产经营项目、场所发包或者出租给其他单位的，生产经营单位应当与承包单位、承租单位签订专门的安全生产管理协议，或者在承包合同、租赁合同中约定各自的安全生产管理职责；生产经营单位对承包单位、承租单位的安全生产工作统一协调、管理，定期进行安全检查，发现安全问题的，应当及时督促整改。</w:t>
      </w:r>
    </w:p>
  </w:footnote>
  <w:footnote w:id="12">
    <w:p w14:paraId="4724CCB5">
      <w:pPr>
        <w:pStyle w:val="9"/>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房屋建筑和市政基础设施工程施工分包管理办法》第十四条第一项：禁止将承包的工程进行违法分包。下列行为，属于违法分包：（一）分包工程发包人将专业工程或者劳务作业分包给不具备相应资质条件的分包工程承包人的。</w:t>
      </w:r>
    </w:p>
  </w:footnote>
  <w:footnote w:id="13">
    <w:p w14:paraId="0EF1BB97">
      <w:pPr>
        <w:pStyle w:val="9"/>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w:t>
      </w:r>
      <w:r>
        <w:rPr>
          <w:rFonts w:hint="default" w:ascii="宋体" w:hAnsi="宋体" w:eastAsia="宋体" w:cs="宋体"/>
          <w:i w:val="0"/>
          <w:iCs w:val="0"/>
          <w:caps w:val="0"/>
          <w:color w:val="333333"/>
          <w:spacing w:val="0"/>
          <w:sz w:val="18"/>
          <w:szCs w:val="18"/>
          <w:shd w:val="clear" w:fill="FFFFFF"/>
          <w:lang w:val="en-US" w:eastAsia="zh-CN"/>
        </w:rPr>
        <w:t>建筑施工企业安全生产管理机构设置及专职安全生产管理人员配备办法</w:t>
      </w:r>
      <w:r>
        <w:rPr>
          <w:rFonts w:hint="eastAsia" w:ascii="宋体" w:hAnsi="宋体" w:eastAsia="宋体" w:cs="宋体"/>
          <w:i w:val="0"/>
          <w:iCs w:val="0"/>
          <w:caps w:val="0"/>
          <w:color w:val="333333"/>
          <w:spacing w:val="0"/>
          <w:sz w:val="18"/>
          <w:szCs w:val="18"/>
          <w:shd w:val="clear" w:fill="FFFFFF"/>
          <w:lang w:val="en-US" w:eastAsia="zh-CN"/>
        </w:rPr>
        <w:t>》第十四条第一项：</w:t>
      </w:r>
      <w:r>
        <w:rPr>
          <w:rFonts w:hint="default" w:ascii="宋体" w:hAnsi="宋体" w:eastAsia="宋体" w:cs="宋体"/>
          <w:i w:val="0"/>
          <w:iCs w:val="0"/>
          <w:caps w:val="0"/>
          <w:color w:val="333333"/>
          <w:spacing w:val="0"/>
          <w:sz w:val="18"/>
          <w:szCs w:val="18"/>
          <w:shd w:val="clear" w:fill="FFFFFF"/>
          <w:lang w:val="en-US" w:eastAsia="zh-CN"/>
        </w:rPr>
        <w:t>分包单位配备项目专职安全生产管理人员应当满足下列要求：（一）专业承包单位应当配置至少1人，并根据所承担的分部分项工程的工程量和施工危险程度增加。</w:t>
      </w:r>
      <w:r>
        <w:rPr>
          <w:rFonts w:hint="eastAsia" w:ascii="宋体" w:hAnsi="宋体" w:eastAsia="宋体" w:cs="宋体"/>
          <w:i w:val="0"/>
          <w:iCs w:val="0"/>
          <w:caps w:val="0"/>
          <w:color w:val="333333"/>
          <w:spacing w:val="0"/>
          <w:sz w:val="18"/>
          <w:szCs w:val="18"/>
          <w:shd w:val="clear" w:fill="FFFFFF"/>
          <w:lang w:val="en-US" w:eastAsia="zh-CN"/>
        </w:rPr>
        <w:t>。</w:t>
      </w:r>
    </w:p>
  </w:footnote>
  <w:footnote w:id="14">
    <w:p w14:paraId="738039B6">
      <w:pPr>
        <w:pStyle w:val="9"/>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]《中华人民共和国安全生产法》第四十九条第二款：生</w:t>
      </w:r>
      <w:r>
        <w:rPr>
          <w:rFonts w:hint="default" w:ascii="宋体" w:hAnsi="宋体" w:eastAsia="宋体" w:cs="宋体"/>
          <w:i w:val="0"/>
          <w:iCs w:val="0"/>
          <w:caps w:val="0"/>
          <w:color w:val="333333"/>
          <w:spacing w:val="0"/>
          <w:sz w:val="18"/>
          <w:szCs w:val="18"/>
          <w:shd w:val="clear" w:fill="FFFFFF"/>
          <w:lang w:val="en-US" w:eastAsia="zh-CN"/>
        </w:rPr>
        <w:t>产经营项目、场所发包或者出租给其他单位的，生产经营单位应当与承包单位、承租单位签订专门的安全生产管理协议，或者在承包合同、租赁合同中约定各自的安全生产管理职责；生产经营单位对承包单位、承租单位的安全生产工作统一协调、管理，定期进行安全检查，发现安全问题的，应当及时督促整改。</w:t>
      </w:r>
    </w:p>
  </w:footnote>
  <w:footnote w:id="15">
    <w:p w14:paraId="2733358C">
      <w:pPr>
        <w:pStyle w:val="9"/>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建设工程监理规范》5.1.10：分包工程开工前，项目监理机构应审核施工单位报送的分包单位资格报审表，专业监理工程师提出审查意见后，应由总监理工程师审核签认。分包单位资格审核应包括下列基本内容:1营业执照、企业资质等级证书。2安全生产许可文件。3类似工程业绩。4专职管理人员和特种作业人员的资格。</w:t>
      </w:r>
    </w:p>
  </w:footnote>
  <w:footnote w:id="16">
    <w:p w14:paraId="2E438D2B">
      <w:pPr>
        <w:pStyle w:val="9"/>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建设工程安全生产管理条例》第十四条第二款：工程监理单位在实施监理过程中，发现存在安全事故隐患的，应当要求施工单位整改；情况严重的，应当要求施工单位暂时停止施工，并及时报告建设单位。施工单位拒不整改或者不停止施工的，工程监理单位应当及时向有关主管部门报告。</w:t>
      </w:r>
    </w:p>
  </w:footnote>
  <w:footnote w:id="17">
    <w:p w14:paraId="78DFA300">
      <w:pPr>
        <w:pStyle w:val="9"/>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 《中华人民共和国刑法》第一百三十四条第一款：【</w:t>
      </w:r>
      <w:r>
        <w:rPr>
          <w:rFonts w:hint="default" w:ascii="宋体" w:hAnsi="宋体" w:eastAsia="宋体" w:cs="宋体"/>
          <w:i w:val="0"/>
          <w:iCs w:val="0"/>
          <w:caps w:val="0"/>
          <w:color w:val="333333"/>
          <w:spacing w:val="0"/>
          <w:sz w:val="18"/>
          <w:szCs w:val="18"/>
          <w:shd w:val="clear" w:fill="FFFFFF"/>
          <w:lang w:val="en-US" w:eastAsia="zh-CN"/>
        </w:rPr>
        <w:fldChar w:fldCharType="begin"/>
      </w:r>
      <w:r>
        <w:rPr>
          <w:rFonts w:hint="default" w:ascii="宋体" w:hAnsi="宋体" w:eastAsia="宋体" w:cs="宋体"/>
          <w:i w:val="0"/>
          <w:iCs w:val="0"/>
          <w:caps w:val="0"/>
          <w:color w:val="333333"/>
          <w:spacing w:val="0"/>
          <w:sz w:val="18"/>
          <w:szCs w:val="18"/>
          <w:shd w:val="clear" w:fill="FFFFFF"/>
          <w:lang w:val="en-US" w:eastAsia="zh-CN"/>
        </w:rPr>
        <w:instrText xml:space="preserve"> HYPERLINK "https://baike.baidu.com/item/%E9%87%8D%E5%A4%A7%E8%B4%A3%E4%BB%BB%E4%BA%8B%E6%95%85%E7%BD%AA/7908362?fromModule=lemma_inlink" \t "https://baike.baidu.com/item/%E4%B8%AD%E5%8D%8E%E4%BA%BA%E6%B0%91%E5%85%B1%E5%92%8C%E5%9B%BD%E5%88%91%E6%B3%95/_blank" </w:instrText>
      </w:r>
      <w:r>
        <w:rPr>
          <w:rFonts w:hint="default" w:ascii="宋体" w:hAnsi="宋体" w:eastAsia="宋体" w:cs="宋体"/>
          <w:i w:val="0"/>
          <w:iCs w:val="0"/>
          <w:caps w:val="0"/>
          <w:color w:val="333333"/>
          <w:spacing w:val="0"/>
          <w:sz w:val="18"/>
          <w:szCs w:val="18"/>
          <w:shd w:val="clear" w:fill="FFFFFF"/>
          <w:lang w:val="en-US" w:eastAsia="zh-CN"/>
        </w:rPr>
        <w:fldChar w:fldCharType="separate"/>
      </w:r>
      <w:r>
        <w:rPr>
          <w:rFonts w:hint="default" w:ascii="宋体" w:hAnsi="宋体" w:eastAsia="宋体" w:cs="宋体"/>
          <w:i w:val="0"/>
          <w:iCs w:val="0"/>
          <w:caps w:val="0"/>
          <w:color w:val="333333"/>
          <w:spacing w:val="0"/>
          <w:sz w:val="18"/>
          <w:szCs w:val="18"/>
          <w:shd w:val="clear" w:fill="FFFFFF"/>
          <w:lang w:val="en-US" w:eastAsia="zh-CN"/>
        </w:rPr>
        <w:t>重大责任事故罪</w:t>
      </w:r>
      <w:r>
        <w:rPr>
          <w:rFonts w:hint="default" w:ascii="宋体" w:hAnsi="宋体" w:eastAsia="宋体" w:cs="宋体"/>
          <w:i w:val="0"/>
          <w:iCs w:val="0"/>
          <w:caps w:val="0"/>
          <w:color w:val="333333"/>
          <w:spacing w:val="0"/>
          <w:sz w:val="18"/>
          <w:szCs w:val="18"/>
          <w:shd w:val="clear" w:fill="FFFFFF"/>
          <w:lang w:val="en-US" w:eastAsia="zh-CN"/>
        </w:rPr>
        <w:fldChar w:fldCharType="end"/>
      </w:r>
      <w:r>
        <w:rPr>
          <w:rFonts w:hint="default" w:ascii="宋体" w:hAnsi="宋体" w:eastAsia="宋体" w:cs="宋体"/>
          <w:i w:val="0"/>
          <w:iCs w:val="0"/>
          <w:caps w:val="0"/>
          <w:color w:val="333333"/>
          <w:spacing w:val="0"/>
          <w:sz w:val="18"/>
          <w:szCs w:val="18"/>
          <w:shd w:val="clear" w:fill="FFFFFF"/>
          <w:lang w:val="en-US" w:eastAsia="zh-CN"/>
        </w:rPr>
        <w:t>】在生产、作业中违反有关安全管理的规定，因而发生重大伤亡事故或者造成其他严重后果的，处3年以下有期徒刑或者拘役；情节特别恶劣的，处3年以上7年以下有期徒刑</w:t>
      </w:r>
    </w:p>
  </w:footnote>
  <w:footnote w:id="18">
    <w:p w14:paraId="663BC44F">
      <w:pPr>
        <w:pStyle w:val="9"/>
        <w:snapToGrid w:val="0"/>
        <w:rPr>
          <w:rFonts w:hint="default"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w:t>
      </w:r>
      <w:r>
        <w:rPr>
          <w:rFonts w:hint="default" w:ascii="宋体" w:hAnsi="宋体" w:eastAsia="宋体" w:cs="宋体"/>
          <w:i w:val="0"/>
          <w:iCs w:val="0"/>
          <w:caps w:val="0"/>
          <w:color w:val="333333"/>
          <w:spacing w:val="0"/>
          <w:sz w:val="18"/>
          <w:szCs w:val="18"/>
          <w:shd w:val="clear" w:fill="FFFFFF"/>
          <w:lang w:val="en-US" w:eastAsia="zh-CN"/>
        </w:rPr>
        <w:t>建筑施工企业安全生产管理机构设置及专职安全生产管理人员配备办法</w:t>
      </w:r>
      <w:r>
        <w:rPr>
          <w:rFonts w:hint="eastAsia" w:ascii="宋体" w:hAnsi="宋体" w:eastAsia="宋体" w:cs="宋体"/>
          <w:i w:val="0"/>
          <w:iCs w:val="0"/>
          <w:caps w:val="0"/>
          <w:color w:val="333333"/>
          <w:spacing w:val="0"/>
          <w:sz w:val="18"/>
          <w:szCs w:val="18"/>
          <w:shd w:val="clear" w:fill="FFFFFF"/>
          <w:lang w:val="en-US" w:eastAsia="zh-CN"/>
        </w:rPr>
        <w:t>（2026年3月26日废除）》第十四条第二项：</w:t>
      </w:r>
      <w:r>
        <w:rPr>
          <w:rFonts w:hint="default" w:ascii="宋体" w:hAnsi="宋体" w:eastAsia="宋体" w:cs="宋体"/>
          <w:i w:val="0"/>
          <w:iCs w:val="0"/>
          <w:caps w:val="0"/>
          <w:color w:val="333333"/>
          <w:spacing w:val="0"/>
          <w:sz w:val="18"/>
          <w:szCs w:val="18"/>
          <w:shd w:val="clear" w:fill="FFFFFF"/>
          <w:lang w:val="en-US" w:eastAsia="zh-CN"/>
        </w:rPr>
        <w:t>分包单位配备项目专职安全生产管理人员应当满足下列要求：（二）劳务分包单位施工人员在50人以下的，应当配备1名专职安全生产管理人员；50人-200人的，应当配备2名专职安全生产管理人员；200人及以上的，应当配备3名及以上专职安全生产管理人员，并根据所承担的分部分项工程施工危险实际情况增加，不得少于工程施工人员总人数的5‰</w:t>
      </w:r>
      <w:r>
        <w:rPr>
          <w:rFonts w:hint="eastAsia" w:ascii="宋体" w:hAnsi="宋体" w:eastAsia="宋体" w:cs="宋体"/>
          <w:i w:val="0"/>
          <w:iCs w:val="0"/>
          <w:caps w:val="0"/>
          <w:color w:val="333333"/>
          <w:spacing w:val="0"/>
          <w:sz w:val="18"/>
          <w:szCs w:val="18"/>
          <w:shd w:val="clear" w:fill="FFFFFF"/>
          <w:lang w:val="en-US" w:eastAsia="zh-CN"/>
        </w:rPr>
        <w:t>。</w:t>
      </w:r>
    </w:p>
  </w:footnote>
  <w:footnote w:id="19">
    <w:p w14:paraId="6A550974">
      <w:pPr>
        <w:pStyle w:val="9"/>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]《中华人民共和国安全生产法》</w:t>
      </w:r>
      <w:r>
        <w:rPr>
          <w:rFonts w:hint="default" w:ascii="宋体" w:hAnsi="宋体" w:eastAsia="宋体" w:cs="宋体"/>
          <w:i w:val="0"/>
          <w:iCs w:val="0"/>
          <w:caps w:val="0"/>
          <w:color w:val="333333"/>
          <w:spacing w:val="0"/>
          <w:sz w:val="18"/>
          <w:szCs w:val="18"/>
          <w:shd w:val="clear" w:fill="FFFFFF"/>
          <w:lang w:val="en-US" w:eastAsia="zh-CN"/>
        </w:rPr>
        <w:t>第二十八条</w:t>
      </w:r>
      <w:r>
        <w:rPr>
          <w:rFonts w:hint="eastAsia" w:ascii="宋体" w:hAnsi="宋体" w:eastAsia="宋体" w:cs="宋体"/>
          <w:i w:val="0"/>
          <w:iCs w:val="0"/>
          <w:caps w:val="0"/>
          <w:color w:val="333333"/>
          <w:spacing w:val="0"/>
          <w:sz w:val="18"/>
          <w:szCs w:val="18"/>
          <w:shd w:val="clear" w:fill="FFFFFF"/>
          <w:lang w:val="en-US" w:eastAsia="zh-CN"/>
        </w:rPr>
        <w:t>第一款：</w:t>
      </w:r>
      <w:r>
        <w:rPr>
          <w:rFonts w:hint="default" w:ascii="宋体" w:hAnsi="宋体" w:eastAsia="宋体" w:cs="宋体"/>
          <w:i w:val="0"/>
          <w:iCs w:val="0"/>
          <w:caps w:val="0"/>
          <w:color w:val="333333"/>
          <w:spacing w:val="0"/>
          <w:sz w:val="18"/>
          <w:szCs w:val="18"/>
          <w:shd w:val="clear" w:fill="FFFFFF"/>
          <w:lang w:val="en-US" w:eastAsia="zh-CN"/>
        </w:rPr>
        <w:t>生产经营单位应当对从业人员进行安全生产教育和培训，保证从业人员具备必要的安全生产知识，熟悉有关的安全生产规章制度和安全操作规程， 掌握本岗位的安全操作技能，了解事故应急处理措施，知悉自身在安全生产方面的权利和义务。未经安全生产教育和培训合格的从业人员，不得上岗作业。</w:t>
      </w:r>
    </w:p>
  </w:footnote>
  <w:footnote w:id="20">
    <w:p w14:paraId="190E12D0">
      <w:pPr>
        <w:pStyle w:val="9"/>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]《中华人民共和国安全生产法》</w:t>
      </w:r>
      <w:r>
        <w:rPr>
          <w:rFonts w:hint="default" w:ascii="宋体" w:hAnsi="宋体" w:eastAsia="宋体" w:cs="宋体"/>
          <w:i w:val="0"/>
          <w:iCs w:val="0"/>
          <w:caps w:val="0"/>
          <w:color w:val="333333"/>
          <w:spacing w:val="0"/>
          <w:sz w:val="18"/>
          <w:szCs w:val="18"/>
          <w:shd w:val="clear" w:fill="FFFFFF"/>
          <w:lang w:val="en-US" w:eastAsia="zh-CN"/>
        </w:rPr>
        <w:t>第</w:t>
      </w:r>
      <w:r>
        <w:rPr>
          <w:rFonts w:hint="eastAsia" w:ascii="宋体" w:hAnsi="宋体" w:eastAsia="宋体" w:cs="宋体"/>
          <w:i w:val="0"/>
          <w:iCs w:val="0"/>
          <w:caps w:val="0"/>
          <w:color w:val="333333"/>
          <w:spacing w:val="0"/>
          <w:sz w:val="18"/>
          <w:szCs w:val="18"/>
          <w:shd w:val="clear" w:fill="FFFFFF"/>
          <w:lang w:val="en-US" w:eastAsia="zh-CN"/>
        </w:rPr>
        <w:t>四十二条第二款：</w:t>
      </w:r>
      <w:r>
        <w:rPr>
          <w:rFonts w:hint="default" w:ascii="宋体" w:hAnsi="宋体" w:eastAsia="宋体" w:cs="宋体"/>
          <w:i w:val="0"/>
          <w:iCs w:val="0"/>
          <w:caps w:val="0"/>
          <w:color w:val="333333"/>
          <w:spacing w:val="0"/>
          <w:sz w:val="18"/>
          <w:szCs w:val="18"/>
          <w:shd w:val="clear" w:fill="FFFFFF"/>
          <w:lang w:val="en-US" w:eastAsia="zh-CN"/>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footnote>
  <w:footnote w:id="21">
    <w:p w14:paraId="7B3D32FD">
      <w:pPr>
        <w:pStyle w:val="9"/>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]《中华人民共和国安全生产法》第二十一条第四项和第五项：生产经营单位的主要负责人对本单位安全生产工作负有下列职责：</w:t>
      </w:r>
      <w:r>
        <w:rPr>
          <w:rFonts w:hint="default" w:ascii="宋体" w:hAnsi="宋体" w:eastAsia="宋体" w:cs="宋体"/>
          <w:i w:val="0"/>
          <w:iCs w:val="0"/>
          <w:caps w:val="0"/>
          <w:color w:val="333333"/>
          <w:spacing w:val="0"/>
          <w:sz w:val="18"/>
          <w:szCs w:val="18"/>
          <w:shd w:val="clear" w:fill="FFFFFF"/>
          <w:lang w:val="en-US" w:eastAsia="zh-CN"/>
        </w:rPr>
        <w:t>（四）保证本单位安全生产投入的有效实施；（五）组织建立并落实安全风险分级管控和隐患排查治理双重预防工作机制，督促、检查本单位的安全生产工作，及时消除生产安全事故隐患</w:t>
      </w:r>
      <w:r>
        <w:rPr>
          <w:rFonts w:hint="eastAsia" w:ascii="宋体" w:hAnsi="宋体" w:eastAsia="宋体" w:cs="宋体"/>
          <w:i w:val="0"/>
          <w:iCs w:val="0"/>
          <w:caps w:val="0"/>
          <w:color w:val="333333"/>
          <w:spacing w:val="0"/>
          <w:sz w:val="18"/>
          <w:szCs w:val="18"/>
          <w:shd w:val="clear" w:fill="FFFFFF"/>
          <w:lang w:val="en-US" w:eastAsia="zh-CN"/>
        </w:rPr>
        <w:t>。</w:t>
      </w:r>
    </w:p>
  </w:footnote>
  <w:footnote w:id="22">
    <w:p w14:paraId="204B3017">
      <w:pPr>
        <w:pStyle w:val="9"/>
        <w:snapToGrid w:val="0"/>
        <w:rPr>
          <w:rFonts w:hint="default"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w:t>
      </w:r>
      <w:r>
        <w:rPr>
          <w:rFonts w:hint="default" w:ascii="宋体" w:hAnsi="宋体" w:eastAsia="宋体" w:cs="宋体"/>
          <w:i w:val="0"/>
          <w:iCs w:val="0"/>
          <w:caps w:val="0"/>
          <w:color w:val="333333"/>
          <w:spacing w:val="0"/>
          <w:sz w:val="18"/>
          <w:szCs w:val="18"/>
          <w:shd w:val="clear" w:fill="FFFFFF"/>
          <w:lang w:val="en-US" w:eastAsia="zh-CN"/>
        </w:rPr>
        <w:t>建筑施工企业安全生产管理机构设置及专职安全生产管理人员配备办法</w:t>
      </w:r>
      <w:r>
        <w:rPr>
          <w:rFonts w:hint="eastAsia" w:ascii="宋体" w:hAnsi="宋体" w:eastAsia="宋体" w:cs="宋体"/>
          <w:i w:val="0"/>
          <w:iCs w:val="0"/>
          <w:caps w:val="0"/>
          <w:color w:val="333333"/>
          <w:spacing w:val="0"/>
          <w:sz w:val="18"/>
          <w:szCs w:val="18"/>
          <w:shd w:val="clear" w:fill="FFFFFF"/>
          <w:lang w:val="en-US" w:eastAsia="zh-CN"/>
        </w:rPr>
        <w:t>（2026年3月26日废除）》第十四条第二项：</w:t>
      </w:r>
      <w:r>
        <w:rPr>
          <w:rFonts w:hint="default" w:ascii="宋体" w:hAnsi="宋体" w:eastAsia="宋体" w:cs="宋体"/>
          <w:i w:val="0"/>
          <w:iCs w:val="0"/>
          <w:caps w:val="0"/>
          <w:color w:val="333333"/>
          <w:spacing w:val="0"/>
          <w:sz w:val="18"/>
          <w:szCs w:val="18"/>
          <w:shd w:val="clear" w:fill="FFFFFF"/>
          <w:lang w:val="en-US" w:eastAsia="zh-CN"/>
        </w:rPr>
        <w:t>分包单位配备项目专职安全生产管理人员应当满足下列要求：（二）劳务分包单位施工人员在50人以下的，应当配备1名专职安全生产管理人员；50人-200人的，应当配备2名专职安全生产管理人员；200人及以上的，应当配备3名及以上专职安全生产管理人员，并根据所承担的分部分项工程施工危险实际情况增加，不得少于工程施工人员总人数的5‰</w:t>
      </w:r>
      <w:r>
        <w:rPr>
          <w:rFonts w:hint="eastAsia" w:ascii="宋体" w:hAnsi="宋体" w:eastAsia="宋体" w:cs="宋体"/>
          <w:i w:val="0"/>
          <w:iCs w:val="0"/>
          <w:caps w:val="0"/>
          <w:color w:val="333333"/>
          <w:spacing w:val="0"/>
          <w:sz w:val="18"/>
          <w:szCs w:val="18"/>
          <w:shd w:val="clear" w:fill="FFFFFF"/>
          <w:lang w:val="en-US" w:eastAsia="zh-CN"/>
        </w:rPr>
        <w:t>。</w:t>
      </w:r>
    </w:p>
  </w:footnote>
  <w:footnote w:id="23">
    <w:p w14:paraId="47BAB0FD">
      <w:pPr>
        <w:pStyle w:val="9"/>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]《中华人民共和国安全生产法》</w:t>
      </w:r>
      <w:r>
        <w:rPr>
          <w:rFonts w:hint="default" w:ascii="宋体" w:hAnsi="宋体" w:eastAsia="宋体" w:cs="宋体"/>
          <w:i w:val="0"/>
          <w:iCs w:val="0"/>
          <w:caps w:val="0"/>
          <w:color w:val="333333"/>
          <w:spacing w:val="0"/>
          <w:sz w:val="18"/>
          <w:szCs w:val="18"/>
          <w:shd w:val="clear" w:fill="FFFFFF"/>
          <w:lang w:val="en-US" w:eastAsia="zh-CN"/>
        </w:rPr>
        <w:t>第二十八条</w:t>
      </w:r>
      <w:r>
        <w:rPr>
          <w:rFonts w:hint="eastAsia" w:ascii="宋体" w:hAnsi="宋体" w:eastAsia="宋体" w:cs="宋体"/>
          <w:i w:val="0"/>
          <w:iCs w:val="0"/>
          <w:caps w:val="0"/>
          <w:color w:val="333333"/>
          <w:spacing w:val="0"/>
          <w:sz w:val="18"/>
          <w:szCs w:val="18"/>
          <w:shd w:val="clear" w:fill="FFFFFF"/>
          <w:lang w:val="en-US" w:eastAsia="zh-CN"/>
        </w:rPr>
        <w:t>第一款：</w:t>
      </w:r>
      <w:r>
        <w:rPr>
          <w:rFonts w:hint="default" w:ascii="宋体" w:hAnsi="宋体" w:eastAsia="宋体" w:cs="宋体"/>
          <w:i w:val="0"/>
          <w:iCs w:val="0"/>
          <w:caps w:val="0"/>
          <w:color w:val="333333"/>
          <w:spacing w:val="0"/>
          <w:sz w:val="18"/>
          <w:szCs w:val="18"/>
          <w:shd w:val="clear" w:fill="FFFFFF"/>
          <w:lang w:val="en-US" w:eastAsia="zh-CN"/>
        </w:rPr>
        <w:t>生产经营单位应当对从业人员进行安全生产教育和培训，保证从业人员具备必要的安全生产知识，熟悉有关的安全生产规章制度和安全操作规程， 掌握本岗位的安全操作技能，了解事故应急处理措施，知悉自身在安全生产方面的权利和义务。未经安全生产教育和培训合格的从业人员，不得上岗作业。</w:t>
      </w:r>
    </w:p>
  </w:footnote>
  <w:footnote w:id="24">
    <w:p w14:paraId="054F84DC">
      <w:pPr>
        <w:pStyle w:val="9"/>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]《中华人民共和国安全生产法》</w:t>
      </w:r>
      <w:r>
        <w:rPr>
          <w:rFonts w:hint="default" w:ascii="宋体" w:hAnsi="宋体" w:eastAsia="宋体" w:cs="宋体"/>
          <w:i w:val="0"/>
          <w:iCs w:val="0"/>
          <w:caps w:val="0"/>
          <w:color w:val="333333"/>
          <w:spacing w:val="0"/>
          <w:sz w:val="18"/>
          <w:szCs w:val="18"/>
          <w:shd w:val="clear" w:fill="FFFFFF"/>
          <w:lang w:val="en-US" w:eastAsia="zh-CN"/>
        </w:rPr>
        <w:t>第四十四条</w:t>
      </w:r>
      <w:r>
        <w:rPr>
          <w:rFonts w:hint="eastAsia" w:ascii="宋体" w:hAnsi="宋体" w:eastAsia="宋体" w:cs="宋体"/>
          <w:i w:val="0"/>
          <w:iCs w:val="0"/>
          <w:caps w:val="0"/>
          <w:color w:val="333333"/>
          <w:spacing w:val="0"/>
          <w:sz w:val="18"/>
          <w:szCs w:val="18"/>
          <w:shd w:val="clear" w:fill="FFFFFF"/>
          <w:lang w:val="en-US" w:eastAsia="zh-CN"/>
        </w:rPr>
        <w:t>第一款：</w:t>
      </w:r>
      <w:r>
        <w:rPr>
          <w:rFonts w:hint="default" w:ascii="宋体" w:hAnsi="宋体" w:eastAsia="宋体" w:cs="宋体"/>
          <w:i w:val="0"/>
          <w:iCs w:val="0"/>
          <w:caps w:val="0"/>
          <w:color w:val="333333"/>
          <w:spacing w:val="0"/>
          <w:sz w:val="18"/>
          <w:szCs w:val="18"/>
          <w:shd w:val="clear" w:fill="FFFFFF"/>
          <w:lang w:val="en-US" w:eastAsia="zh-CN"/>
        </w:rPr>
        <w:t>生产经营单位应当教育和督促从业人员严格执行本单位的安全生产规章制度和安全操作规程；并向从业人员如实告知作业场所和工作岗位存在的危险因素、防范措施以及事故应急措施。</w:t>
      </w:r>
    </w:p>
  </w:footnote>
  <w:footnote w:id="25">
    <w:p w14:paraId="029A45DC">
      <w:pPr>
        <w:pStyle w:val="9"/>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]《中华人民共和国安全生产法》</w:t>
      </w:r>
      <w:r>
        <w:rPr>
          <w:rFonts w:hint="default" w:ascii="宋体" w:hAnsi="宋体" w:eastAsia="宋体" w:cs="宋体"/>
          <w:i w:val="0"/>
          <w:iCs w:val="0"/>
          <w:caps w:val="0"/>
          <w:color w:val="333333"/>
          <w:spacing w:val="0"/>
          <w:sz w:val="18"/>
          <w:szCs w:val="18"/>
          <w:shd w:val="clear" w:fill="FFFFFF"/>
          <w:lang w:val="en-US" w:eastAsia="zh-CN"/>
        </w:rPr>
        <w:t>第</w:t>
      </w:r>
      <w:r>
        <w:rPr>
          <w:rFonts w:hint="eastAsia" w:ascii="宋体" w:hAnsi="宋体" w:eastAsia="宋体" w:cs="宋体"/>
          <w:i w:val="0"/>
          <w:iCs w:val="0"/>
          <w:caps w:val="0"/>
          <w:color w:val="333333"/>
          <w:spacing w:val="0"/>
          <w:sz w:val="18"/>
          <w:szCs w:val="18"/>
          <w:shd w:val="clear" w:fill="FFFFFF"/>
          <w:lang w:val="en-US" w:eastAsia="zh-CN"/>
        </w:rPr>
        <w:t>四十二条第二款：</w:t>
      </w:r>
      <w:r>
        <w:rPr>
          <w:rFonts w:hint="default" w:ascii="宋体" w:hAnsi="宋体" w:eastAsia="宋体" w:cs="宋体"/>
          <w:i w:val="0"/>
          <w:iCs w:val="0"/>
          <w:caps w:val="0"/>
          <w:color w:val="333333"/>
          <w:spacing w:val="0"/>
          <w:sz w:val="18"/>
          <w:szCs w:val="18"/>
          <w:shd w:val="clear" w:fill="FFFFFF"/>
          <w:lang w:val="en-US" w:eastAsia="zh-CN"/>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footnote>
  <w:footnote w:id="26">
    <w:p w14:paraId="0D5921FC">
      <w:pPr>
        <w:pStyle w:val="9"/>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]《中华人民共和国安全生产法》第二十一条第四项和第五项：生产经营单位的主要负责人对本单位安全生产工作负有下列职责：</w:t>
      </w:r>
      <w:r>
        <w:rPr>
          <w:rFonts w:hint="default" w:ascii="宋体" w:hAnsi="宋体" w:eastAsia="宋体" w:cs="宋体"/>
          <w:i w:val="0"/>
          <w:iCs w:val="0"/>
          <w:caps w:val="0"/>
          <w:color w:val="333333"/>
          <w:spacing w:val="0"/>
          <w:sz w:val="18"/>
          <w:szCs w:val="18"/>
          <w:shd w:val="clear" w:fill="FFFFFF"/>
          <w:lang w:val="en-US" w:eastAsia="zh-CN"/>
        </w:rPr>
        <w:t>（四）保证本单位安全生产投入的有效实施；（五）组织建立并落实安全风险分级管控和隐患排查治理双重预防工作机制，督促、检查本单位的安全生产工作，及时消除生产安全事故隐患</w:t>
      </w:r>
      <w:r>
        <w:rPr>
          <w:rFonts w:hint="eastAsia" w:ascii="宋体" w:hAnsi="宋体" w:eastAsia="宋体" w:cs="宋体"/>
          <w:i w:val="0"/>
          <w:iCs w:val="0"/>
          <w:caps w:val="0"/>
          <w:color w:val="333333"/>
          <w:spacing w:val="0"/>
          <w:sz w:val="18"/>
          <w:szCs w:val="18"/>
          <w:shd w:val="clear" w:fill="FFFFFF"/>
          <w:lang w:val="en-US" w:eastAsia="zh-CN"/>
        </w:rPr>
        <w:t>。</w:t>
      </w:r>
    </w:p>
  </w:footnote>
  <w:footnote w:id="27">
    <w:p w14:paraId="0572530A">
      <w:pPr>
        <w:pStyle w:val="9"/>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w:t>
      </w:r>
      <w:r>
        <w:rPr>
          <w:rFonts w:hint="default" w:ascii="宋体" w:hAnsi="宋体" w:eastAsia="宋体" w:cs="宋体"/>
          <w:i w:val="0"/>
          <w:iCs w:val="0"/>
          <w:caps w:val="0"/>
          <w:color w:val="333333"/>
          <w:spacing w:val="0"/>
          <w:sz w:val="18"/>
          <w:szCs w:val="18"/>
          <w:shd w:val="clear" w:fill="FFFFFF"/>
          <w:lang w:val="en-US" w:eastAsia="zh-CN"/>
        </w:rPr>
        <w:t>武汉市建设工程安全生产管理办法</w:t>
      </w:r>
      <w:r>
        <w:rPr>
          <w:rFonts w:hint="eastAsia" w:ascii="宋体" w:hAnsi="宋体" w:eastAsia="宋体" w:cs="宋体"/>
          <w:i w:val="0"/>
          <w:iCs w:val="0"/>
          <w:caps w:val="0"/>
          <w:color w:val="333333"/>
          <w:spacing w:val="0"/>
          <w:sz w:val="18"/>
          <w:szCs w:val="18"/>
          <w:shd w:val="clear" w:fill="FFFFFF"/>
          <w:lang w:val="en-US" w:eastAsia="zh-CN"/>
        </w:rPr>
        <w:t>》</w:t>
      </w:r>
      <w:r>
        <w:rPr>
          <w:rFonts w:hint="default" w:ascii="宋体" w:hAnsi="宋体" w:eastAsia="宋体" w:cs="宋体"/>
          <w:i w:val="0"/>
          <w:iCs w:val="0"/>
          <w:caps w:val="0"/>
          <w:color w:val="333333"/>
          <w:spacing w:val="0"/>
          <w:sz w:val="18"/>
          <w:szCs w:val="18"/>
          <w:shd w:val="clear" w:fill="FFFFFF"/>
          <w:lang w:val="en-US" w:eastAsia="zh-CN"/>
        </w:rPr>
        <w:t>第二十七条</w:t>
      </w:r>
      <w:r>
        <w:rPr>
          <w:rFonts w:hint="eastAsia" w:ascii="宋体" w:hAnsi="宋体" w:eastAsia="宋体" w:cs="宋体"/>
          <w:i w:val="0"/>
          <w:iCs w:val="0"/>
          <w:caps w:val="0"/>
          <w:color w:val="333333"/>
          <w:spacing w:val="0"/>
          <w:sz w:val="18"/>
          <w:szCs w:val="18"/>
          <w:shd w:val="clear" w:fill="FFFFFF"/>
          <w:lang w:val="en-US" w:eastAsia="zh-CN"/>
        </w:rPr>
        <w:t>：</w:t>
      </w:r>
      <w:r>
        <w:rPr>
          <w:rFonts w:hint="default" w:ascii="宋体" w:hAnsi="宋体" w:eastAsia="宋体" w:cs="宋体"/>
          <w:i w:val="0"/>
          <w:iCs w:val="0"/>
          <w:caps w:val="0"/>
          <w:color w:val="333333"/>
          <w:spacing w:val="0"/>
          <w:sz w:val="18"/>
          <w:szCs w:val="18"/>
          <w:shd w:val="clear" w:fill="FFFFFF"/>
          <w:lang w:val="en-US" w:eastAsia="zh-CN"/>
        </w:rPr>
        <w:t>施工单位应当定期对管理人员和作业人员进行安全生产教育培训，督促其遵守工程建设强制性标准、规章制度和操作规程。进入新的岗位或者新的施工现场前，施工单位应当对作业人员进行安全生产教育培训，未经安全生产教育培训或者教育培训考核不合格的人员，不得上岗。</w:t>
      </w:r>
    </w:p>
  </w:footnote>
  <w:footnote w:id="28">
    <w:p w14:paraId="0032116E">
      <w:pPr>
        <w:pStyle w:val="9"/>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]《中华人民共和国安全生产法》第四十九条第二款：生</w:t>
      </w:r>
      <w:r>
        <w:rPr>
          <w:rFonts w:hint="default" w:ascii="宋体" w:hAnsi="宋体" w:eastAsia="宋体" w:cs="宋体"/>
          <w:i w:val="0"/>
          <w:iCs w:val="0"/>
          <w:caps w:val="0"/>
          <w:color w:val="333333"/>
          <w:spacing w:val="0"/>
          <w:sz w:val="18"/>
          <w:szCs w:val="18"/>
          <w:shd w:val="clear" w:fill="FFFFFF"/>
          <w:lang w:val="en-US" w:eastAsia="zh-CN"/>
        </w:rPr>
        <w:t>产经营项目、场所发包或者出租给其他单位的，生产经营单位应当与承包单位、承租单位签订专门的安全生产管理协议，或者在承包合同、租赁合同中约定各自的安全生产管理职责；生产经营单位对承包单位、承租单位的安全生产工作统一协调、管理，定期进行安全检查，发现安全问题的，应当及时督促整改。</w:t>
      </w:r>
    </w:p>
  </w:footnote>
  <w:footnote w:id="29">
    <w:p w14:paraId="3E3B9358">
      <w:pPr>
        <w:pStyle w:val="9"/>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]《中华人民共和国安全生产法》第二十一条第一款第五项：产经营单位</w:t>
      </w:r>
      <w:r>
        <w:rPr>
          <w:rFonts w:hint="default" w:ascii="宋体" w:hAnsi="宋体" w:eastAsia="宋体" w:cs="宋体"/>
          <w:i w:val="0"/>
          <w:iCs w:val="0"/>
          <w:caps w:val="0"/>
          <w:color w:val="333333"/>
          <w:spacing w:val="0"/>
          <w:sz w:val="18"/>
          <w:szCs w:val="18"/>
          <w:shd w:val="clear" w:fill="FFFFFF"/>
          <w:lang w:val="en-US" w:eastAsia="zh-CN"/>
        </w:rPr>
        <w:t>的安全生产管理机构以及安全生产管理人员履行下列职责：</w:t>
      </w:r>
      <w:r>
        <w:rPr>
          <w:rFonts w:hint="eastAsia" w:ascii="宋体" w:hAnsi="宋体" w:eastAsia="宋体" w:cs="宋体"/>
          <w:i w:val="0"/>
          <w:iCs w:val="0"/>
          <w:caps w:val="0"/>
          <w:color w:val="333333"/>
          <w:spacing w:val="0"/>
          <w:sz w:val="18"/>
          <w:szCs w:val="18"/>
          <w:shd w:val="clear" w:fill="FFFFFF"/>
          <w:lang w:val="en-US" w:eastAsia="zh-CN"/>
        </w:rPr>
        <w:t>五）检查</w:t>
      </w:r>
      <w:r>
        <w:rPr>
          <w:rFonts w:hint="default" w:ascii="宋体" w:hAnsi="宋体" w:eastAsia="宋体" w:cs="宋体"/>
          <w:i w:val="0"/>
          <w:iCs w:val="0"/>
          <w:caps w:val="0"/>
          <w:color w:val="333333"/>
          <w:spacing w:val="0"/>
          <w:sz w:val="18"/>
          <w:szCs w:val="18"/>
          <w:shd w:val="clear" w:fill="FFFFFF"/>
          <w:lang w:val="en-US" w:eastAsia="zh-CN"/>
        </w:rPr>
        <w:t>本单位的安全生产状况，及时排查生产安全事故隐患，提出改进安全生产管理的建议</w:t>
      </w:r>
      <w:r>
        <w:rPr>
          <w:rFonts w:hint="eastAsia" w:ascii="宋体" w:hAnsi="宋体" w:eastAsia="宋体" w:cs="宋体"/>
          <w:i w:val="0"/>
          <w:iCs w:val="0"/>
          <w:caps w:val="0"/>
          <w:color w:val="333333"/>
          <w:spacing w:val="0"/>
          <w:sz w:val="18"/>
          <w:szCs w:val="18"/>
          <w:shd w:val="clear" w:fill="FFFFFF"/>
          <w:lang w:val="en-US" w:eastAsia="zh-CN"/>
        </w:rPr>
        <w:t>。</w:t>
      </w:r>
    </w:p>
  </w:footnote>
  <w:footnote w:id="30">
    <w:p w14:paraId="2063EF2B">
      <w:pPr>
        <w:pStyle w:val="9"/>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]《中华人民共和国安全生产法》第四十九条第一款：生产经营单位不得将生产经营项目、场所、设备发包或者出租给不具备安全生产条件或者相应资质的单位或者个人。</w:t>
      </w:r>
    </w:p>
  </w:footnote>
  <w:footnote w:id="31">
    <w:p w14:paraId="0FC341E4">
      <w:pPr>
        <w:pStyle w:val="9"/>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]《中华人民共和国安全生产法》第四十九条第二款：生</w:t>
      </w:r>
      <w:r>
        <w:rPr>
          <w:rFonts w:hint="default" w:ascii="宋体" w:hAnsi="宋体" w:eastAsia="宋体" w:cs="宋体"/>
          <w:i w:val="0"/>
          <w:iCs w:val="0"/>
          <w:caps w:val="0"/>
          <w:color w:val="333333"/>
          <w:spacing w:val="0"/>
          <w:sz w:val="18"/>
          <w:szCs w:val="18"/>
          <w:shd w:val="clear" w:fill="FFFFFF"/>
          <w:lang w:val="en-US" w:eastAsia="zh-CN"/>
        </w:rPr>
        <w:t>产经营项目、场所发包或者出租给其他单位的，生产经营单位应当与承包单位、承租单位签订专门的安全生产管理协议，或者在承包合同、租赁合同中约定各自的安全生产管理职责；生产经营单位对承包单位、承租单位的安全生产工作统一协调、管理，定期进行安全检查，发现安全问题的，应当及时督促整改。</w:t>
      </w:r>
    </w:p>
  </w:footnote>
  <w:footnote w:id="32">
    <w:p w14:paraId="412D9080">
      <w:pPr>
        <w:pStyle w:val="9"/>
        <w:snapToGrid w:val="0"/>
        <w:rPr>
          <w:rFonts w:hint="default"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w:t>
      </w:r>
      <w:r>
        <w:rPr>
          <w:rFonts w:hint="default" w:ascii="宋体" w:hAnsi="宋体" w:eastAsia="宋体" w:cs="宋体"/>
          <w:i w:val="0"/>
          <w:iCs w:val="0"/>
          <w:caps w:val="0"/>
          <w:color w:val="333333"/>
          <w:spacing w:val="0"/>
          <w:sz w:val="18"/>
          <w:szCs w:val="18"/>
          <w:shd w:val="clear" w:fill="FFFFFF"/>
          <w:lang w:val="en-US" w:eastAsia="zh-CN"/>
        </w:rPr>
        <w:t>建筑施工企业安全生产管理机构设置及专职安全生产管理人员配备办法</w:t>
      </w:r>
      <w:r>
        <w:rPr>
          <w:rFonts w:hint="eastAsia" w:ascii="宋体" w:hAnsi="宋体" w:eastAsia="宋体" w:cs="宋体"/>
          <w:i w:val="0"/>
          <w:iCs w:val="0"/>
          <w:caps w:val="0"/>
          <w:color w:val="333333"/>
          <w:spacing w:val="0"/>
          <w:sz w:val="18"/>
          <w:szCs w:val="18"/>
          <w:shd w:val="clear" w:fill="FFFFFF"/>
          <w:lang w:val="en-US" w:eastAsia="zh-CN"/>
        </w:rPr>
        <w:t>（2026年3月26日废除）》第十四条第二项：</w:t>
      </w:r>
      <w:r>
        <w:rPr>
          <w:rFonts w:hint="default" w:ascii="宋体" w:hAnsi="宋体" w:eastAsia="宋体" w:cs="宋体"/>
          <w:i w:val="0"/>
          <w:iCs w:val="0"/>
          <w:caps w:val="0"/>
          <w:color w:val="333333"/>
          <w:spacing w:val="0"/>
          <w:sz w:val="18"/>
          <w:szCs w:val="18"/>
          <w:shd w:val="clear" w:fill="FFFFFF"/>
          <w:lang w:val="en-US" w:eastAsia="zh-CN"/>
        </w:rPr>
        <w:t>分包单位配备项目专职安全生产管理人员应当满足下列要求：（二）劳务分包单位施工人员在50人以下的，应当配备1名专职安全生产管理人员；50人-200人的，应当配备2名专职安全生产管理人员；200人及以上的，应当配备3名及以上专职安全生产管理人员，并根据所承担的分部分项工程施工危险实际情况增加，不得少于工程施工人员总人数的5‰</w:t>
      </w:r>
      <w:r>
        <w:rPr>
          <w:rFonts w:hint="eastAsia" w:ascii="宋体" w:hAnsi="宋体" w:eastAsia="宋体" w:cs="宋体"/>
          <w:i w:val="0"/>
          <w:iCs w:val="0"/>
          <w:caps w:val="0"/>
          <w:color w:val="333333"/>
          <w:spacing w:val="0"/>
          <w:sz w:val="18"/>
          <w:szCs w:val="18"/>
          <w:shd w:val="clear" w:fill="FFFFFF"/>
          <w:lang w:val="en-US" w:eastAsia="zh-CN"/>
        </w:rPr>
        <w:t>。</w:t>
      </w:r>
    </w:p>
  </w:footnote>
  <w:footnote w:id="33">
    <w:p w14:paraId="100304E4">
      <w:pPr>
        <w:pStyle w:val="9"/>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]《中华人民共和国安全生产法》第二十一条第四项：生产经营单位的主要负责人对本单位安全生产工作负有下列职责：</w:t>
      </w:r>
      <w:r>
        <w:rPr>
          <w:rFonts w:hint="default" w:ascii="宋体" w:hAnsi="宋体" w:eastAsia="宋体" w:cs="宋体"/>
          <w:i w:val="0"/>
          <w:iCs w:val="0"/>
          <w:caps w:val="0"/>
          <w:color w:val="333333"/>
          <w:spacing w:val="0"/>
          <w:sz w:val="18"/>
          <w:szCs w:val="18"/>
          <w:shd w:val="clear" w:fill="FFFFFF"/>
          <w:lang w:val="en-US" w:eastAsia="zh-CN"/>
        </w:rPr>
        <w:t>（四）保证本单位安全生产投入的有效实施</w:t>
      </w:r>
      <w:r>
        <w:rPr>
          <w:rFonts w:hint="eastAsia" w:ascii="宋体" w:hAnsi="宋体" w:eastAsia="宋体" w:cs="宋体"/>
          <w:i w:val="0"/>
          <w:iCs w:val="0"/>
          <w:caps w:val="0"/>
          <w:color w:val="333333"/>
          <w:spacing w:val="0"/>
          <w:sz w:val="18"/>
          <w:szCs w:val="18"/>
          <w:shd w:val="clear" w:fill="FFFFFF"/>
          <w:lang w:val="en-US" w:eastAsia="zh-CN"/>
        </w:rPr>
        <w:t>。</w:t>
      </w:r>
    </w:p>
  </w:footnote>
  <w:footnote w:id="34">
    <w:p w14:paraId="02C901F7">
      <w:pPr>
        <w:pStyle w:val="9"/>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]《中华人民共和国安全生产法》第二十五条第一款第六项：生产经营单位</w:t>
      </w:r>
      <w:r>
        <w:rPr>
          <w:rFonts w:hint="default" w:ascii="宋体" w:hAnsi="宋体" w:eastAsia="宋体" w:cs="宋体"/>
          <w:i w:val="0"/>
          <w:iCs w:val="0"/>
          <w:caps w:val="0"/>
          <w:color w:val="333333"/>
          <w:spacing w:val="0"/>
          <w:sz w:val="18"/>
          <w:szCs w:val="18"/>
          <w:shd w:val="clear" w:fill="FFFFFF"/>
          <w:lang w:val="en-US" w:eastAsia="zh-CN"/>
        </w:rPr>
        <w:t>的安全生产管理机构以及安全生产管理人员履行下列职责：</w:t>
      </w:r>
      <w:r>
        <w:rPr>
          <w:rFonts w:hint="eastAsia" w:ascii="宋体" w:hAnsi="宋体" w:eastAsia="宋体" w:cs="宋体"/>
          <w:i w:val="0"/>
          <w:iCs w:val="0"/>
          <w:caps w:val="0"/>
          <w:color w:val="333333"/>
          <w:spacing w:val="0"/>
          <w:sz w:val="18"/>
          <w:szCs w:val="18"/>
          <w:shd w:val="clear" w:fill="FFFFFF"/>
          <w:lang w:val="en-US" w:eastAsia="zh-CN"/>
        </w:rPr>
        <w:t>（六）</w:t>
      </w:r>
      <w:r>
        <w:rPr>
          <w:rFonts w:hint="default" w:ascii="宋体" w:hAnsi="宋体" w:eastAsia="宋体" w:cs="宋体"/>
          <w:i w:val="0"/>
          <w:iCs w:val="0"/>
          <w:caps w:val="0"/>
          <w:color w:val="333333"/>
          <w:spacing w:val="0"/>
          <w:sz w:val="18"/>
          <w:szCs w:val="18"/>
          <w:shd w:val="clear" w:fill="FFFFFF"/>
          <w:lang w:val="en-US" w:eastAsia="zh-CN"/>
        </w:rPr>
        <w:t>制止和纠正违章指挥、强令冒险作业、违反操作规程的行为</w:t>
      </w:r>
      <w:r>
        <w:rPr>
          <w:rFonts w:hint="eastAsia" w:ascii="宋体" w:hAnsi="宋体" w:eastAsia="宋体" w:cs="宋体"/>
          <w:i w:val="0"/>
          <w:iCs w:val="0"/>
          <w:caps w:val="0"/>
          <w:color w:val="333333"/>
          <w:spacing w:val="0"/>
          <w:sz w:val="18"/>
          <w:szCs w:val="18"/>
          <w:shd w:val="clear" w:fill="FFFFFF"/>
          <w:lang w:val="en-US" w:eastAsia="zh-CN"/>
        </w:rPr>
        <w:t>。</w:t>
      </w:r>
    </w:p>
  </w:footnote>
  <w:footnote w:id="35">
    <w:p w14:paraId="5C1760D7">
      <w:pPr>
        <w:pStyle w:val="9"/>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建设工程安全生产管理条例》第十四条第二款：工程监理单位在实施监理过程中，发现存在安全事故隐患的，应当要求施工单位整改；情况严重的，应当要求施工单位暂时停止施工，并及时报告建设单位。施工单位拒不整改或者不停止施工的，工程监理单位应当及时向有关主管部门报告。</w:t>
      </w:r>
    </w:p>
  </w:footnote>
  <w:footnote w:id="36">
    <w:p w14:paraId="2F8D84FD">
      <w:pPr>
        <w:pStyle w:val="9"/>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]《建设工程安全生产管理条例》第十四条第三款：工程监理单位和监理工程师应当按照法律、法规和工程建设强制性标准实施监理，并对建设工程安全生产承担监理责任。</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74"/>
    <w:footnote w:id="75"/>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2MzEyMTdiNjdjYjIyYTY2ODA4NWVjNmJjNTVhMzkifQ=="/>
  </w:docVars>
  <w:rsids>
    <w:rsidRoot w:val="51194DA5"/>
    <w:rsid w:val="01BF166D"/>
    <w:rsid w:val="025B14EB"/>
    <w:rsid w:val="039D55F6"/>
    <w:rsid w:val="04541FBF"/>
    <w:rsid w:val="04EB0562"/>
    <w:rsid w:val="06B86A37"/>
    <w:rsid w:val="06C248A3"/>
    <w:rsid w:val="06C97AB1"/>
    <w:rsid w:val="07075397"/>
    <w:rsid w:val="072F7455"/>
    <w:rsid w:val="0BE77E99"/>
    <w:rsid w:val="0CE515B5"/>
    <w:rsid w:val="0CF053C7"/>
    <w:rsid w:val="0CFB0D20"/>
    <w:rsid w:val="0E387D67"/>
    <w:rsid w:val="0F8B0C86"/>
    <w:rsid w:val="0FD6518B"/>
    <w:rsid w:val="100C1DE2"/>
    <w:rsid w:val="10185BF4"/>
    <w:rsid w:val="10DD24EB"/>
    <w:rsid w:val="10E20B40"/>
    <w:rsid w:val="12366BD3"/>
    <w:rsid w:val="12442092"/>
    <w:rsid w:val="13806921"/>
    <w:rsid w:val="140838EB"/>
    <w:rsid w:val="1511631C"/>
    <w:rsid w:val="16337E88"/>
    <w:rsid w:val="167707FD"/>
    <w:rsid w:val="16800499"/>
    <w:rsid w:val="18314FC0"/>
    <w:rsid w:val="18484C8B"/>
    <w:rsid w:val="193E1C7A"/>
    <w:rsid w:val="199B6790"/>
    <w:rsid w:val="1C7558BE"/>
    <w:rsid w:val="1C9673F2"/>
    <w:rsid w:val="1F603109"/>
    <w:rsid w:val="1FDE39D7"/>
    <w:rsid w:val="1FEB2CED"/>
    <w:rsid w:val="20D0721B"/>
    <w:rsid w:val="22297D19"/>
    <w:rsid w:val="2350337E"/>
    <w:rsid w:val="24363F82"/>
    <w:rsid w:val="24B1414A"/>
    <w:rsid w:val="24D221F6"/>
    <w:rsid w:val="24DA53F4"/>
    <w:rsid w:val="26035DEB"/>
    <w:rsid w:val="2635403B"/>
    <w:rsid w:val="269A2DD1"/>
    <w:rsid w:val="27FE272D"/>
    <w:rsid w:val="28A320EE"/>
    <w:rsid w:val="28D02A86"/>
    <w:rsid w:val="291E6775"/>
    <w:rsid w:val="29C54C03"/>
    <w:rsid w:val="2EA53E15"/>
    <w:rsid w:val="2EFA2B99"/>
    <w:rsid w:val="2F6272D6"/>
    <w:rsid w:val="35BA13B5"/>
    <w:rsid w:val="37C86419"/>
    <w:rsid w:val="3BFD046C"/>
    <w:rsid w:val="3C340CD4"/>
    <w:rsid w:val="3CBB35B6"/>
    <w:rsid w:val="3CE81A7C"/>
    <w:rsid w:val="3DFD3B43"/>
    <w:rsid w:val="3E00417F"/>
    <w:rsid w:val="3E504639"/>
    <w:rsid w:val="3F3D1F51"/>
    <w:rsid w:val="3F7A2CAD"/>
    <w:rsid w:val="3FFD6B0B"/>
    <w:rsid w:val="40C60753"/>
    <w:rsid w:val="40E116CF"/>
    <w:rsid w:val="412703B3"/>
    <w:rsid w:val="428A713A"/>
    <w:rsid w:val="42E06844"/>
    <w:rsid w:val="43900E0E"/>
    <w:rsid w:val="448926C6"/>
    <w:rsid w:val="452219F1"/>
    <w:rsid w:val="46D40D43"/>
    <w:rsid w:val="46E60C47"/>
    <w:rsid w:val="47FF6E96"/>
    <w:rsid w:val="49E45F5F"/>
    <w:rsid w:val="4A0326E9"/>
    <w:rsid w:val="4C171E65"/>
    <w:rsid w:val="4C181799"/>
    <w:rsid w:val="4CC15681"/>
    <w:rsid w:val="4CC74F06"/>
    <w:rsid w:val="4DA100EC"/>
    <w:rsid w:val="4DBD4199"/>
    <w:rsid w:val="4DD93DE3"/>
    <w:rsid w:val="4E80218D"/>
    <w:rsid w:val="4FB87457"/>
    <w:rsid w:val="4FCA1119"/>
    <w:rsid w:val="508D27A6"/>
    <w:rsid w:val="51194DA5"/>
    <w:rsid w:val="51F4040A"/>
    <w:rsid w:val="523E5EFC"/>
    <w:rsid w:val="52FD5035"/>
    <w:rsid w:val="53132A5C"/>
    <w:rsid w:val="542100C3"/>
    <w:rsid w:val="55583B90"/>
    <w:rsid w:val="56B43E4C"/>
    <w:rsid w:val="593F3B16"/>
    <w:rsid w:val="5A6B2D19"/>
    <w:rsid w:val="5B02022D"/>
    <w:rsid w:val="5C3B233F"/>
    <w:rsid w:val="5D227959"/>
    <w:rsid w:val="5D3C2A97"/>
    <w:rsid w:val="5DB15F43"/>
    <w:rsid w:val="5E2B5C0D"/>
    <w:rsid w:val="5FEF0499"/>
    <w:rsid w:val="60A423A3"/>
    <w:rsid w:val="610466BA"/>
    <w:rsid w:val="6164634C"/>
    <w:rsid w:val="61AB2FDE"/>
    <w:rsid w:val="637706CF"/>
    <w:rsid w:val="63B05F18"/>
    <w:rsid w:val="6425175A"/>
    <w:rsid w:val="643F551C"/>
    <w:rsid w:val="665E65C4"/>
    <w:rsid w:val="66FF570B"/>
    <w:rsid w:val="675E1315"/>
    <w:rsid w:val="67EB5D09"/>
    <w:rsid w:val="68AD66CB"/>
    <w:rsid w:val="6ABC1A6B"/>
    <w:rsid w:val="6B3B3BE2"/>
    <w:rsid w:val="6B48073D"/>
    <w:rsid w:val="6B5F75BD"/>
    <w:rsid w:val="6C472C93"/>
    <w:rsid w:val="6CA86ED0"/>
    <w:rsid w:val="6E491E80"/>
    <w:rsid w:val="6E9842AD"/>
    <w:rsid w:val="6ED6597F"/>
    <w:rsid w:val="74415A7B"/>
    <w:rsid w:val="761009CA"/>
    <w:rsid w:val="761A356D"/>
    <w:rsid w:val="776524BB"/>
    <w:rsid w:val="782F143B"/>
    <w:rsid w:val="787B52CB"/>
    <w:rsid w:val="78FD7415"/>
    <w:rsid w:val="79485462"/>
    <w:rsid w:val="794A540B"/>
    <w:rsid w:val="7A8C2C0C"/>
    <w:rsid w:val="7AC853A4"/>
    <w:rsid w:val="7B602578"/>
    <w:rsid w:val="7BE80030"/>
    <w:rsid w:val="7E42647E"/>
    <w:rsid w:val="7EF127D4"/>
    <w:rsid w:val="7EFD0B4E"/>
    <w:rsid w:val="7FAD7AFF"/>
    <w:rsid w:val="7FC17096"/>
    <w:rsid w:val="D5767253"/>
    <w:rsid w:val="E791E825"/>
    <w:rsid w:val="F4EFDF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semiHidden/>
    <w:unhideWhenUsed/>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3">
    <w:name w:val="Normal Indent"/>
    <w:basedOn w:val="1"/>
    <w:next w:val="1"/>
    <w:qFormat/>
    <w:uiPriority w:val="0"/>
    <w:pPr>
      <w:ind w:firstLine="420" w:firstLineChars="200"/>
    </w:pPr>
    <w:rPr>
      <w:rFonts w:eastAsia="仿宋"/>
      <w:sz w:val="32"/>
    </w:rPr>
  </w:style>
  <w:style w:type="paragraph" w:styleId="4">
    <w:name w:val="Body Text"/>
    <w:basedOn w:val="1"/>
    <w:next w:val="3"/>
    <w:qFormat/>
    <w:uiPriority w:val="0"/>
    <w:pPr>
      <w:spacing w:before="100" w:beforeAutospacing="1" w:after="100" w:afterAutospacing="1"/>
      <w:ind w:left="136"/>
    </w:pPr>
    <w:rPr>
      <w:rFonts w:ascii="宋体" w:hAnsi="宋体"/>
      <w:sz w:val="28"/>
      <w:szCs w:val="28"/>
    </w:rPr>
  </w:style>
  <w:style w:type="paragraph" w:styleId="5">
    <w:name w:val="Body Text Indent"/>
    <w:basedOn w:val="1"/>
    <w:next w:val="3"/>
    <w:qFormat/>
    <w:uiPriority w:val="0"/>
    <w:pPr>
      <w:ind w:firstLine="622" w:firstLine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paragraph" w:styleId="9">
    <w:name w:val="footnote text"/>
    <w:basedOn w:val="1"/>
    <w:qFormat/>
    <w:uiPriority w:val="0"/>
    <w:pPr>
      <w:snapToGrid w:val="0"/>
      <w:jc w:val="left"/>
    </w:pPr>
    <w:rPr>
      <w:sz w:val="18"/>
    </w:rPr>
  </w:style>
  <w:style w:type="paragraph" w:styleId="10">
    <w:name w:val="toc 2"/>
    <w:basedOn w:val="1"/>
    <w:next w:val="1"/>
    <w:qFormat/>
    <w:uiPriority w:val="0"/>
    <w:pPr>
      <w:ind w:left="420" w:leftChars="200"/>
    </w:pPr>
  </w:style>
  <w:style w:type="paragraph" w:styleId="11">
    <w:name w:val="Body Text First Indent 2"/>
    <w:basedOn w:val="5"/>
    <w:next w:val="1"/>
    <w:qFormat/>
    <w:uiPriority w:val="0"/>
    <w:pPr>
      <w:ind w:firstLine="420"/>
    </w:p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character" w:styleId="16">
    <w:name w:val="footnote reference"/>
    <w:basedOn w:val="13"/>
    <w:qFormat/>
    <w:uiPriority w:val="0"/>
    <w:rPr>
      <w:vertAlign w:val="superscript"/>
    </w:rPr>
  </w:style>
  <w:style w:type="paragraph" w:customStyle="1" w:styleId="17">
    <w:name w:val="li_正文"/>
    <w:basedOn w:val="1"/>
    <w:autoRedefine/>
    <w:qFormat/>
    <w:uiPriority w:val="0"/>
    <w:pPr>
      <w:widowControl w:val="0"/>
      <w:topLinePunct/>
      <w:adjustRightInd w:val="0"/>
      <w:snapToGrid w:val="0"/>
      <w:spacing w:line="360" w:lineRule="auto"/>
      <w:ind w:firstLine="700" w:firstLineChars="250"/>
      <w:textAlignment w:val="auto"/>
    </w:pPr>
    <w:rPr>
      <w:rFonts w:ascii="宋体" w:hAnsi="宋体"/>
      <w:sz w:val="28"/>
      <w:szCs w:val="28"/>
      <w:u w:val="none" w:color="auto"/>
    </w:rPr>
  </w:style>
  <w:style w:type="paragraph" w:customStyle="1" w:styleId="18">
    <w:name w:val="Body Text First Indent 2"/>
    <w:basedOn w:val="19"/>
    <w:next w:val="1"/>
    <w:qFormat/>
    <w:uiPriority w:val="0"/>
    <w:pPr>
      <w:ind w:firstLine="420"/>
    </w:pPr>
  </w:style>
  <w:style w:type="paragraph" w:customStyle="1" w:styleId="19">
    <w:name w:val="Body Text Indent"/>
    <w:basedOn w:val="1"/>
    <w:next w:val="20"/>
    <w:qFormat/>
    <w:uiPriority w:val="0"/>
    <w:pPr>
      <w:ind w:firstLine="640" w:firstLineChars="200"/>
    </w:pPr>
    <w:rPr>
      <w:snapToGrid w:val="0"/>
      <w:kern w:val="0"/>
    </w:rPr>
  </w:style>
  <w:style w:type="paragraph" w:customStyle="1" w:styleId="20">
    <w:name w:val="Normal Indent"/>
    <w:basedOn w:val="1"/>
    <w:qFormat/>
    <w:uiPriority w:val="0"/>
    <w:pPr>
      <w:ind w:firstLine="420" w:firstLineChars="200"/>
    </w:pPr>
    <w:rPr>
      <w:rFonts w:eastAsia="仿宋"/>
      <w:sz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6095</Words>
  <Characters>6568</Characters>
  <Lines>0</Lines>
  <Paragraphs>0</Paragraphs>
  <TotalTime>0</TotalTime>
  <ScaleCrop>false</ScaleCrop>
  <LinksUpToDate>false</LinksUpToDate>
  <CharactersWithSpaces>6810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2024-06-27T14:58:00Z</dcterms:created>
  <dc:creator>Asnlssu</dc:creator>
  <cp:lastModifiedBy>Asnlssu</cp:lastModifiedBy>
  <cp:lastPrinted>2026-07-23T07:42:48Z</cp:lastPrinted>
  <dcterms:modified xsi:type="dcterms:W3CDTF">2026-07-23T07:42:52Z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3B4A46907E94452B9B103202EACC10E9_13</vt:lpwstr>
  </property>
  <property fmtid="{D5CDD505-2E9C-101B-9397-08002B2CF9AE}" pid="4" name="KSOTemplateDocerSaveRecord">
    <vt:lpwstr>eyJoZGlkIjoiZDYzOTYzZjczNGZmNGI3MzhlNGQzMDkxYzE4YzYxOGEiLCJ1c2VySWQiOiIxMTc5NDgzNjMxIn0=</vt:lpwstr>
  </property>
</Properties>
</file>