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F68F2">
      <w:pPr>
        <w:pStyle w:val="17"/>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p>
    <w:p w14:paraId="4ACC4CFB">
      <w:pPr>
        <w:pStyle w:val="17"/>
        <w:rPr>
          <w:rFonts w:hint="eastAsia"/>
          <w:color w:val="000000" w:themeColor="text1"/>
          <w:lang w:val="en-US" w:eastAsia="zh-CN"/>
          <w14:textFill>
            <w14:solidFill>
              <w14:schemeClr w14:val="tx1"/>
            </w14:solidFill>
          </w14:textFill>
        </w:rPr>
      </w:pPr>
    </w:p>
    <w:p w14:paraId="40C43330">
      <w:pPr>
        <w:jc w:val="center"/>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0" w:name="_Toc30016"/>
      <w:bookmarkStart w:id="1" w:name="_Toc29362"/>
      <w:bookmarkStart w:id="2" w:name="_Toc24460"/>
      <w:bookmarkStart w:id="3" w:name="_Toc4234"/>
      <w:bookmarkStart w:id="4" w:name="_Toc32603"/>
      <w:bookmarkStart w:id="5" w:name="_Toc5690"/>
      <w:bookmarkStart w:id="6" w:name="_Toc13948"/>
      <w:bookmarkStart w:id="7" w:name="_Toc12013"/>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青山红卫路青山52、53街坊P（2023）055号地块项目“5·28”一般</w:t>
      </w:r>
      <w:bookmarkEnd w:id="0"/>
      <w:bookmarkStart w:id="8" w:name="_Toc28352"/>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高处坠落事故</w:t>
      </w:r>
      <w:bookmarkEnd w:id="1"/>
      <w:bookmarkEnd w:id="2"/>
    </w:p>
    <w:p w14:paraId="7023F8D9">
      <w:pPr>
        <w:jc w:val="center"/>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9" w:name="_Toc30247"/>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调查</w:t>
      </w:r>
      <w:bookmarkEnd w:id="3"/>
      <w:bookmarkEnd w:id="4"/>
      <w:bookmarkEnd w:id="5"/>
      <w:bookmarkStart w:id="10" w:name="_Toc30922"/>
      <w:bookmarkStart w:id="11" w:name="_Toc16380"/>
      <w:bookmarkStart w:id="12" w:name="_Toc3869"/>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报告</w:t>
      </w:r>
      <w:bookmarkEnd w:id="6"/>
      <w:bookmarkEnd w:id="7"/>
      <w:bookmarkEnd w:id="8"/>
      <w:bookmarkEnd w:id="9"/>
      <w:bookmarkEnd w:id="10"/>
      <w:bookmarkEnd w:id="11"/>
      <w:bookmarkEnd w:id="12"/>
    </w:p>
    <w:p w14:paraId="11B84CBE">
      <w:pPr>
        <w:pStyle w:val="17"/>
        <w:ind w:left="0" w:leftChars="0" w:firstLine="0" w:firstLineChars="0"/>
        <w:rPr>
          <w:rFonts w:hint="eastAsia"/>
          <w:lang w:val="en-US" w:eastAsia="zh-CN"/>
        </w:rPr>
      </w:pPr>
    </w:p>
    <w:p w14:paraId="5FE2BDAF">
      <w:pPr>
        <w:pStyle w:val="17"/>
        <w:rPr>
          <w:rFonts w:hint="eastAsia"/>
          <w:lang w:val="en-US" w:eastAsia="zh-CN"/>
        </w:rPr>
      </w:pPr>
    </w:p>
    <w:p w14:paraId="274941A4">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3D1EC3ED">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1D48A5EF">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7908715B">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78DEE845">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1463E74C">
      <w:pPr>
        <w:pStyle w:val="17"/>
        <w:ind w:left="0" w:leftChars="0" w:firstLine="0" w:firstLineChars="0"/>
        <w:rPr>
          <w:rFonts w:hint="eastAsia" w:ascii="宋体" w:hAnsi="宋体" w:eastAsia="宋体" w:cs="宋体"/>
          <w:b/>
          <w:bCs/>
          <w:color w:val="000000" w:themeColor="text1"/>
          <w:sz w:val="48"/>
          <w:szCs w:val="48"/>
          <w:lang w:val="en-US" w:eastAsia="zh-CN"/>
          <w14:textFill>
            <w14:solidFill>
              <w14:schemeClr w14:val="tx1"/>
            </w14:solidFill>
          </w14:textFill>
        </w:rPr>
      </w:pPr>
    </w:p>
    <w:p w14:paraId="584246E5">
      <w:pPr>
        <w:jc w:val="both"/>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p>
    <w:p w14:paraId="2808AE92">
      <w:pPr>
        <w:pStyle w:val="17"/>
        <w:rPr>
          <w:rFonts w:hint="eastAsia"/>
          <w:lang w:val="en-US" w:eastAsia="zh-CN"/>
        </w:rPr>
      </w:pPr>
    </w:p>
    <w:p w14:paraId="5466DB77">
      <w:pPr>
        <w:jc w:val="both"/>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0E9A40C7">
      <w:pPr>
        <w:jc w:val="cente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青山区“5·28”一般高处坠落事故调查组</w:t>
      </w:r>
    </w:p>
    <w:p w14:paraId="4A5C61F4">
      <w:pPr>
        <w:pStyle w:val="11"/>
        <w:ind w:left="0" w:leftChars="0" w:firstLine="0" w:firstLineChars="0"/>
        <w:jc w:val="center"/>
        <w:rPr>
          <w:rFonts w:hint="default"/>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2026年7月</w:t>
      </w:r>
    </w:p>
    <w:p w14:paraId="4F81F057">
      <w:pP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br w:type="page"/>
      </w:r>
    </w:p>
    <w:p w14:paraId="2A615322">
      <w:pPr>
        <w:jc w:val="center"/>
        <w:outlineLvl w:val="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sectPr>
          <w:footerReference r:id="rId4" w:type="default"/>
          <w:pgSz w:w="11906" w:h="16838"/>
          <w:pgMar w:top="2098" w:right="1474" w:bottom="1984" w:left="1587" w:header="851" w:footer="992" w:gutter="0"/>
          <w:pgNumType w:fmt="decimal" w:start="1"/>
          <w:cols w:space="425" w:num="1"/>
          <w:docGrid w:type="lines" w:linePitch="312" w:charSpace="0"/>
        </w:sectPr>
      </w:pPr>
    </w:p>
    <w:sdt>
      <w:sdtPr>
        <w:rPr>
          <w:rFonts w:ascii="宋体" w:hAnsi="宋体" w:eastAsia="宋体" w:cstheme="minorBidi"/>
          <w:b/>
          <w:bCs/>
          <w:kern w:val="2"/>
          <w:sz w:val="32"/>
          <w:szCs w:val="32"/>
          <w:lang w:val="en-US" w:eastAsia="zh-CN" w:bidi="ar-SA"/>
        </w:rPr>
        <w:id w:val="147455631"/>
        <w15:color w:val="DBDBDB"/>
        <w:docPartObj>
          <w:docPartGallery w:val="Table of Contents"/>
          <w:docPartUnique/>
        </w:docPartObj>
      </w:sdtPr>
      <w:sdtEndPr>
        <w:rPr>
          <w:rFonts w:ascii="宋体" w:hAnsi="宋体" w:eastAsia="宋体" w:cstheme="minorBidi"/>
          <w:b/>
          <w:bCs/>
          <w:kern w:val="2"/>
          <w:sz w:val="24"/>
          <w:szCs w:val="24"/>
          <w:lang w:val="en-US" w:eastAsia="zh-CN" w:bidi="ar-SA"/>
        </w:rPr>
      </w:sdtEndPr>
      <w:sdtContent>
        <w:p w14:paraId="2443957D">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asciiTheme="minorHAnsi" w:hAnsiTheme="minorHAnsi" w:eastAsiaTheme="minorEastAsia" w:cstheme="minorBidi"/>
              <w:kern w:val="2"/>
              <w:sz w:val="24"/>
              <w:szCs w:val="24"/>
              <w:lang w:val="en-US" w:eastAsia="zh-CN" w:bidi="ar-SA"/>
            </w:rPr>
          </w:pPr>
          <w:r>
            <w:rPr>
              <w:rFonts w:hint="eastAsia" w:ascii="宋体" w:hAnsi="宋体" w:eastAsia="宋体" w:cs="宋体"/>
              <w:b/>
              <w:bCs/>
              <w:sz w:val="32"/>
              <w:szCs w:val="32"/>
            </w:rPr>
            <w:t>目</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录</w:t>
          </w:r>
          <w:r>
            <w:rPr>
              <w:sz w:val="24"/>
              <w:szCs w:val="24"/>
            </w:rPr>
            <w:fldChar w:fldCharType="begin"/>
          </w:r>
          <w:r>
            <w:rPr>
              <w:sz w:val="24"/>
              <w:szCs w:val="24"/>
            </w:rPr>
            <w:instrText xml:space="preserve">TOC \o "1-2" \h \u </w:instrText>
          </w:r>
          <w:r>
            <w:rPr>
              <w:sz w:val="24"/>
              <w:szCs w:val="24"/>
            </w:rPr>
            <w:fldChar w:fldCharType="separate"/>
          </w:r>
        </w:p>
        <w:p w14:paraId="519DD639">
          <w:pPr>
            <w:pStyle w:val="8"/>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_Toc30915 </w:instrText>
          </w:r>
          <w:r>
            <w:rPr>
              <w:sz w:val="24"/>
              <w:szCs w:val="24"/>
            </w:rPr>
            <w:fldChar w:fldCharType="separate"/>
          </w:r>
          <w:r>
            <w:rPr>
              <w:rFonts w:hint="eastAsia" w:ascii="黑体" w:hAnsi="黑体" w:eastAsia="黑体" w:cs="黑体"/>
              <w:sz w:val="24"/>
              <w:szCs w:val="24"/>
              <w:lang w:val="en-US" w:eastAsia="zh-CN"/>
            </w:rPr>
            <w:t>一、事故基本情况</w:t>
          </w:r>
          <w:r>
            <w:rPr>
              <w:sz w:val="24"/>
              <w:szCs w:val="24"/>
            </w:rPr>
            <w:tab/>
          </w:r>
          <w:r>
            <w:rPr>
              <w:sz w:val="24"/>
              <w:szCs w:val="24"/>
            </w:rPr>
            <w:fldChar w:fldCharType="begin"/>
          </w:r>
          <w:r>
            <w:rPr>
              <w:sz w:val="24"/>
              <w:szCs w:val="24"/>
            </w:rPr>
            <w:instrText xml:space="preserve"> PAGEREF _Toc30915 \h </w:instrText>
          </w:r>
          <w:r>
            <w:rPr>
              <w:sz w:val="24"/>
              <w:szCs w:val="24"/>
            </w:rPr>
            <w:fldChar w:fldCharType="separate"/>
          </w:r>
          <w:r>
            <w:rPr>
              <w:sz w:val="24"/>
              <w:szCs w:val="24"/>
            </w:rPr>
            <w:t>2</w:t>
          </w:r>
          <w:r>
            <w:rPr>
              <w:sz w:val="24"/>
              <w:szCs w:val="24"/>
            </w:rPr>
            <w:fldChar w:fldCharType="end"/>
          </w:r>
          <w:r>
            <w:rPr>
              <w:sz w:val="24"/>
              <w:szCs w:val="24"/>
            </w:rPr>
            <w:fldChar w:fldCharType="end"/>
          </w:r>
        </w:p>
        <w:p w14:paraId="16423D37">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_Toc23759 </w:instrText>
          </w:r>
          <w:r>
            <w:rPr>
              <w:sz w:val="24"/>
              <w:szCs w:val="24"/>
            </w:rPr>
            <w:fldChar w:fldCharType="separate"/>
          </w:r>
          <w:r>
            <w:rPr>
              <w:rFonts w:hint="eastAsia" w:ascii="楷体_GB2312" w:hAnsi="楷体_GB2312" w:eastAsia="楷体_GB2312" w:cs="楷体_GB2312"/>
              <w:bCs/>
              <w:sz w:val="24"/>
              <w:szCs w:val="24"/>
              <w:lang w:val="en-US" w:eastAsia="zh-CN"/>
            </w:rPr>
            <w:t>（一）事故发生单位及相关单位概况</w:t>
          </w:r>
          <w:r>
            <w:rPr>
              <w:sz w:val="24"/>
              <w:szCs w:val="24"/>
            </w:rPr>
            <w:tab/>
          </w:r>
          <w:r>
            <w:rPr>
              <w:sz w:val="24"/>
              <w:szCs w:val="24"/>
            </w:rPr>
            <w:fldChar w:fldCharType="begin"/>
          </w:r>
          <w:r>
            <w:rPr>
              <w:sz w:val="24"/>
              <w:szCs w:val="24"/>
            </w:rPr>
            <w:instrText xml:space="preserve"> PAGEREF _Toc23759 \h </w:instrText>
          </w:r>
          <w:r>
            <w:rPr>
              <w:sz w:val="24"/>
              <w:szCs w:val="24"/>
            </w:rPr>
            <w:fldChar w:fldCharType="separate"/>
          </w:r>
          <w:r>
            <w:rPr>
              <w:sz w:val="24"/>
              <w:szCs w:val="24"/>
            </w:rPr>
            <w:t>2</w:t>
          </w:r>
          <w:r>
            <w:rPr>
              <w:sz w:val="24"/>
              <w:szCs w:val="24"/>
            </w:rPr>
            <w:fldChar w:fldCharType="end"/>
          </w:r>
          <w:r>
            <w:rPr>
              <w:sz w:val="24"/>
              <w:szCs w:val="24"/>
            </w:rPr>
            <w:fldChar w:fldCharType="end"/>
          </w:r>
        </w:p>
        <w:p w14:paraId="7A6EED68">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_Toc18871 </w:instrText>
          </w:r>
          <w:r>
            <w:rPr>
              <w:sz w:val="24"/>
              <w:szCs w:val="24"/>
            </w:rPr>
            <w:fldChar w:fldCharType="separate"/>
          </w:r>
          <w:r>
            <w:rPr>
              <w:rFonts w:hint="eastAsia" w:ascii="楷体_GB2312" w:hAnsi="楷体_GB2312" w:eastAsia="楷体_GB2312" w:cs="楷体_GB2312"/>
              <w:bCs/>
              <w:sz w:val="24"/>
              <w:szCs w:val="24"/>
              <w:lang w:val="en-US" w:eastAsia="zh-CN"/>
            </w:rPr>
            <w:t>（二）事故项目及相关合同情况</w:t>
          </w:r>
          <w:r>
            <w:rPr>
              <w:sz w:val="24"/>
              <w:szCs w:val="24"/>
            </w:rPr>
            <w:tab/>
          </w:r>
          <w:r>
            <w:rPr>
              <w:sz w:val="24"/>
              <w:szCs w:val="24"/>
            </w:rPr>
            <w:fldChar w:fldCharType="begin"/>
          </w:r>
          <w:r>
            <w:rPr>
              <w:sz w:val="24"/>
              <w:szCs w:val="24"/>
            </w:rPr>
            <w:instrText xml:space="preserve"> PAGEREF _Toc18871 \h </w:instrText>
          </w:r>
          <w:r>
            <w:rPr>
              <w:sz w:val="24"/>
              <w:szCs w:val="24"/>
            </w:rPr>
            <w:fldChar w:fldCharType="separate"/>
          </w:r>
          <w:r>
            <w:rPr>
              <w:sz w:val="24"/>
              <w:szCs w:val="24"/>
            </w:rPr>
            <w:t>3</w:t>
          </w:r>
          <w:r>
            <w:rPr>
              <w:sz w:val="24"/>
              <w:szCs w:val="24"/>
            </w:rPr>
            <w:fldChar w:fldCharType="end"/>
          </w:r>
          <w:r>
            <w:rPr>
              <w:sz w:val="24"/>
              <w:szCs w:val="24"/>
            </w:rPr>
            <w:fldChar w:fldCharType="end"/>
          </w:r>
        </w:p>
        <w:p w14:paraId="0966FA30">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_Toc18569 </w:instrText>
          </w:r>
          <w:r>
            <w:rPr>
              <w:sz w:val="24"/>
              <w:szCs w:val="24"/>
            </w:rPr>
            <w:fldChar w:fldCharType="separate"/>
          </w:r>
          <w:r>
            <w:rPr>
              <w:rFonts w:hint="eastAsia" w:ascii="楷体_GB2312" w:hAnsi="楷体_GB2312" w:eastAsia="楷体_GB2312" w:cs="楷体_GB2312"/>
              <w:bCs/>
              <w:sz w:val="24"/>
              <w:szCs w:val="24"/>
              <w:lang w:val="en-US" w:eastAsia="zh-CN"/>
            </w:rPr>
            <w:t>（三）事故发生单位安全管理情况</w:t>
          </w:r>
          <w:r>
            <w:rPr>
              <w:sz w:val="24"/>
              <w:szCs w:val="24"/>
            </w:rPr>
            <w:tab/>
          </w:r>
          <w:r>
            <w:rPr>
              <w:sz w:val="24"/>
              <w:szCs w:val="24"/>
            </w:rPr>
            <w:fldChar w:fldCharType="begin"/>
          </w:r>
          <w:r>
            <w:rPr>
              <w:sz w:val="24"/>
              <w:szCs w:val="24"/>
            </w:rPr>
            <w:instrText xml:space="preserve"> PAGEREF _Toc18569 \h </w:instrText>
          </w:r>
          <w:r>
            <w:rPr>
              <w:sz w:val="24"/>
              <w:szCs w:val="24"/>
            </w:rPr>
            <w:fldChar w:fldCharType="separate"/>
          </w:r>
          <w:r>
            <w:rPr>
              <w:sz w:val="24"/>
              <w:szCs w:val="24"/>
            </w:rPr>
            <w:t>4</w:t>
          </w:r>
          <w:r>
            <w:rPr>
              <w:sz w:val="24"/>
              <w:szCs w:val="24"/>
            </w:rPr>
            <w:fldChar w:fldCharType="end"/>
          </w:r>
          <w:r>
            <w:rPr>
              <w:sz w:val="24"/>
              <w:szCs w:val="24"/>
            </w:rPr>
            <w:fldChar w:fldCharType="end"/>
          </w:r>
        </w:p>
        <w:p w14:paraId="68CBAA4B">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_Toc2401 </w:instrText>
          </w:r>
          <w:r>
            <w:rPr>
              <w:sz w:val="24"/>
              <w:szCs w:val="24"/>
            </w:rPr>
            <w:fldChar w:fldCharType="separate"/>
          </w:r>
          <w:r>
            <w:rPr>
              <w:rFonts w:hint="eastAsia" w:ascii="楷体_GB2312" w:hAnsi="楷体_GB2312" w:eastAsia="楷体_GB2312" w:cs="楷体_GB2312"/>
              <w:bCs/>
              <w:sz w:val="24"/>
              <w:szCs w:val="24"/>
              <w:lang w:val="en-US" w:eastAsia="zh-CN"/>
            </w:rPr>
            <w:t>（四）事故发生经过</w:t>
          </w:r>
          <w:r>
            <w:rPr>
              <w:sz w:val="24"/>
              <w:szCs w:val="24"/>
            </w:rPr>
            <w:tab/>
          </w:r>
          <w:r>
            <w:rPr>
              <w:sz w:val="24"/>
              <w:szCs w:val="24"/>
            </w:rPr>
            <w:fldChar w:fldCharType="begin"/>
          </w:r>
          <w:r>
            <w:rPr>
              <w:sz w:val="24"/>
              <w:szCs w:val="24"/>
            </w:rPr>
            <w:instrText xml:space="preserve"> PAGEREF _Toc2401 \h </w:instrText>
          </w:r>
          <w:r>
            <w:rPr>
              <w:sz w:val="24"/>
              <w:szCs w:val="24"/>
            </w:rPr>
            <w:fldChar w:fldCharType="separate"/>
          </w:r>
          <w:r>
            <w:rPr>
              <w:sz w:val="24"/>
              <w:szCs w:val="24"/>
            </w:rPr>
            <w:t>4</w:t>
          </w:r>
          <w:r>
            <w:rPr>
              <w:sz w:val="24"/>
              <w:szCs w:val="24"/>
            </w:rPr>
            <w:fldChar w:fldCharType="end"/>
          </w:r>
          <w:r>
            <w:rPr>
              <w:sz w:val="24"/>
              <w:szCs w:val="24"/>
            </w:rPr>
            <w:fldChar w:fldCharType="end"/>
          </w:r>
        </w:p>
        <w:p w14:paraId="3013922E">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_Toc9498 </w:instrText>
          </w:r>
          <w:r>
            <w:rPr>
              <w:sz w:val="24"/>
              <w:szCs w:val="24"/>
            </w:rPr>
            <w:fldChar w:fldCharType="separate"/>
          </w:r>
          <w:r>
            <w:rPr>
              <w:rFonts w:hint="eastAsia" w:ascii="楷体_GB2312" w:hAnsi="楷体_GB2312" w:eastAsia="楷体_GB2312" w:cs="楷体_GB2312"/>
              <w:bCs/>
              <w:sz w:val="24"/>
              <w:szCs w:val="24"/>
              <w:lang w:val="en-US" w:eastAsia="zh-CN"/>
            </w:rPr>
            <w:t>（五）事故现场情况</w:t>
          </w:r>
          <w:r>
            <w:rPr>
              <w:sz w:val="24"/>
              <w:szCs w:val="24"/>
            </w:rPr>
            <w:tab/>
          </w:r>
          <w:r>
            <w:rPr>
              <w:sz w:val="24"/>
              <w:szCs w:val="24"/>
            </w:rPr>
            <w:fldChar w:fldCharType="begin"/>
          </w:r>
          <w:r>
            <w:rPr>
              <w:sz w:val="24"/>
              <w:szCs w:val="24"/>
            </w:rPr>
            <w:instrText xml:space="preserve"> PAGEREF _Toc9498 \h </w:instrText>
          </w:r>
          <w:r>
            <w:rPr>
              <w:sz w:val="24"/>
              <w:szCs w:val="24"/>
            </w:rPr>
            <w:fldChar w:fldCharType="separate"/>
          </w:r>
          <w:r>
            <w:rPr>
              <w:sz w:val="24"/>
              <w:szCs w:val="24"/>
            </w:rPr>
            <w:t>5</w:t>
          </w:r>
          <w:r>
            <w:rPr>
              <w:sz w:val="24"/>
              <w:szCs w:val="24"/>
            </w:rPr>
            <w:fldChar w:fldCharType="end"/>
          </w:r>
          <w:r>
            <w:rPr>
              <w:sz w:val="24"/>
              <w:szCs w:val="24"/>
            </w:rPr>
            <w:fldChar w:fldCharType="end"/>
          </w:r>
        </w:p>
        <w:p w14:paraId="2ABB9BEA">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_Toc13470 </w:instrText>
          </w:r>
          <w:r>
            <w:rPr>
              <w:sz w:val="24"/>
              <w:szCs w:val="24"/>
            </w:rPr>
            <w:fldChar w:fldCharType="separate"/>
          </w:r>
          <w:r>
            <w:rPr>
              <w:rFonts w:hint="eastAsia" w:ascii="楷体_GB2312" w:hAnsi="楷体_GB2312" w:eastAsia="楷体_GB2312" w:cs="楷体_GB2312"/>
              <w:bCs/>
              <w:sz w:val="24"/>
              <w:szCs w:val="24"/>
              <w:lang w:val="en-US" w:eastAsia="zh-CN"/>
            </w:rPr>
            <w:t>（六）人员伤亡和直接经济损失情况</w:t>
          </w:r>
          <w:r>
            <w:rPr>
              <w:sz w:val="24"/>
              <w:szCs w:val="24"/>
            </w:rPr>
            <w:tab/>
          </w:r>
          <w:r>
            <w:rPr>
              <w:sz w:val="24"/>
              <w:szCs w:val="24"/>
            </w:rPr>
            <w:fldChar w:fldCharType="begin"/>
          </w:r>
          <w:r>
            <w:rPr>
              <w:sz w:val="24"/>
              <w:szCs w:val="24"/>
            </w:rPr>
            <w:instrText xml:space="preserve"> PAGEREF _Toc13470 \h </w:instrText>
          </w:r>
          <w:r>
            <w:rPr>
              <w:sz w:val="24"/>
              <w:szCs w:val="24"/>
            </w:rPr>
            <w:fldChar w:fldCharType="separate"/>
          </w:r>
          <w:r>
            <w:rPr>
              <w:sz w:val="24"/>
              <w:szCs w:val="24"/>
            </w:rPr>
            <w:t>6</w:t>
          </w:r>
          <w:r>
            <w:rPr>
              <w:sz w:val="24"/>
              <w:szCs w:val="24"/>
            </w:rPr>
            <w:fldChar w:fldCharType="end"/>
          </w:r>
          <w:r>
            <w:rPr>
              <w:sz w:val="24"/>
              <w:szCs w:val="24"/>
            </w:rPr>
            <w:fldChar w:fldCharType="end"/>
          </w:r>
        </w:p>
        <w:p w14:paraId="1F7A87F5">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_Toc9655 </w:instrText>
          </w:r>
          <w:r>
            <w:rPr>
              <w:sz w:val="24"/>
              <w:szCs w:val="24"/>
            </w:rPr>
            <w:fldChar w:fldCharType="separate"/>
          </w:r>
          <w:r>
            <w:rPr>
              <w:rFonts w:hint="eastAsia" w:ascii="楷体_GB2312" w:hAnsi="楷体_GB2312" w:eastAsia="楷体_GB2312" w:cs="楷体_GB2312"/>
              <w:bCs/>
              <w:sz w:val="24"/>
              <w:szCs w:val="24"/>
              <w:lang w:val="en-US" w:eastAsia="zh-CN"/>
            </w:rPr>
            <w:t>（七）其他情况</w:t>
          </w:r>
          <w:r>
            <w:rPr>
              <w:sz w:val="24"/>
              <w:szCs w:val="24"/>
            </w:rPr>
            <w:tab/>
          </w:r>
          <w:r>
            <w:rPr>
              <w:sz w:val="24"/>
              <w:szCs w:val="24"/>
            </w:rPr>
            <w:fldChar w:fldCharType="begin"/>
          </w:r>
          <w:r>
            <w:rPr>
              <w:sz w:val="24"/>
              <w:szCs w:val="24"/>
            </w:rPr>
            <w:instrText xml:space="preserve"> PAGEREF _Toc9655 \h </w:instrText>
          </w:r>
          <w:r>
            <w:rPr>
              <w:sz w:val="24"/>
              <w:szCs w:val="24"/>
            </w:rPr>
            <w:fldChar w:fldCharType="separate"/>
          </w:r>
          <w:r>
            <w:rPr>
              <w:sz w:val="24"/>
              <w:szCs w:val="24"/>
            </w:rPr>
            <w:t>6</w:t>
          </w:r>
          <w:r>
            <w:rPr>
              <w:sz w:val="24"/>
              <w:szCs w:val="24"/>
            </w:rPr>
            <w:fldChar w:fldCharType="end"/>
          </w:r>
          <w:r>
            <w:rPr>
              <w:sz w:val="24"/>
              <w:szCs w:val="24"/>
            </w:rPr>
            <w:fldChar w:fldCharType="end"/>
          </w:r>
        </w:p>
        <w:p w14:paraId="753B5118">
          <w:pPr>
            <w:pStyle w:val="8"/>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_Toc8060 </w:instrText>
          </w:r>
          <w:r>
            <w:rPr>
              <w:sz w:val="24"/>
              <w:szCs w:val="24"/>
            </w:rPr>
            <w:fldChar w:fldCharType="separate"/>
          </w:r>
          <w:r>
            <w:rPr>
              <w:rFonts w:hint="eastAsia" w:ascii="黑体" w:hAnsi="黑体" w:eastAsia="黑体" w:cs="黑体"/>
              <w:sz w:val="24"/>
              <w:szCs w:val="24"/>
              <w:lang w:val="en-US" w:eastAsia="zh-CN"/>
            </w:rPr>
            <w:t>二、事故应急处置及评估情况</w:t>
          </w:r>
          <w:r>
            <w:rPr>
              <w:sz w:val="24"/>
              <w:szCs w:val="24"/>
            </w:rPr>
            <w:tab/>
          </w:r>
          <w:r>
            <w:rPr>
              <w:sz w:val="24"/>
              <w:szCs w:val="24"/>
            </w:rPr>
            <w:fldChar w:fldCharType="begin"/>
          </w:r>
          <w:r>
            <w:rPr>
              <w:sz w:val="24"/>
              <w:szCs w:val="24"/>
            </w:rPr>
            <w:instrText xml:space="preserve"> PAGEREF _Toc8060 \h </w:instrText>
          </w:r>
          <w:r>
            <w:rPr>
              <w:sz w:val="24"/>
              <w:szCs w:val="24"/>
            </w:rPr>
            <w:fldChar w:fldCharType="separate"/>
          </w:r>
          <w:r>
            <w:rPr>
              <w:sz w:val="24"/>
              <w:szCs w:val="24"/>
            </w:rPr>
            <w:t>8</w:t>
          </w:r>
          <w:r>
            <w:rPr>
              <w:sz w:val="24"/>
              <w:szCs w:val="24"/>
            </w:rPr>
            <w:fldChar w:fldCharType="end"/>
          </w:r>
          <w:r>
            <w:rPr>
              <w:sz w:val="24"/>
              <w:szCs w:val="24"/>
            </w:rPr>
            <w:fldChar w:fldCharType="end"/>
          </w:r>
        </w:p>
        <w:p w14:paraId="3A6D7AA8">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_Toc20778 </w:instrText>
          </w:r>
          <w:r>
            <w:rPr>
              <w:sz w:val="24"/>
              <w:szCs w:val="24"/>
            </w:rPr>
            <w:fldChar w:fldCharType="separate"/>
          </w:r>
          <w:r>
            <w:rPr>
              <w:rFonts w:hint="eastAsia" w:ascii="楷体_GB2312" w:hAnsi="楷体_GB2312" w:eastAsia="楷体_GB2312" w:cs="楷体_GB2312"/>
              <w:bCs/>
              <w:sz w:val="24"/>
              <w:szCs w:val="24"/>
              <w:lang w:val="en-US" w:eastAsia="zh-CN"/>
            </w:rPr>
            <w:t>（一）事故信息接报及响应情况</w:t>
          </w:r>
          <w:r>
            <w:rPr>
              <w:sz w:val="24"/>
              <w:szCs w:val="24"/>
            </w:rPr>
            <w:tab/>
          </w:r>
          <w:r>
            <w:rPr>
              <w:sz w:val="24"/>
              <w:szCs w:val="24"/>
            </w:rPr>
            <w:fldChar w:fldCharType="begin"/>
          </w:r>
          <w:r>
            <w:rPr>
              <w:sz w:val="24"/>
              <w:szCs w:val="24"/>
            </w:rPr>
            <w:instrText xml:space="preserve"> PAGEREF _Toc20778 \h </w:instrText>
          </w:r>
          <w:r>
            <w:rPr>
              <w:sz w:val="24"/>
              <w:szCs w:val="24"/>
            </w:rPr>
            <w:fldChar w:fldCharType="separate"/>
          </w:r>
          <w:r>
            <w:rPr>
              <w:sz w:val="24"/>
              <w:szCs w:val="24"/>
            </w:rPr>
            <w:t>8</w:t>
          </w:r>
          <w:r>
            <w:rPr>
              <w:sz w:val="24"/>
              <w:szCs w:val="24"/>
            </w:rPr>
            <w:fldChar w:fldCharType="end"/>
          </w:r>
          <w:r>
            <w:rPr>
              <w:sz w:val="24"/>
              <w:szCs w:val="24"/>
            </w:rPr>
            <w:fldChar w:fldCharType="end"/>
          </w:r>
        </w:p>
        <w:p w14:paraId="669D3F4F">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_Toc31292 </w:instrText>
          </w:r>
          <w:r>
            <w:rPr>
              <w:sz w:val="24"/>
              <w:szCs w:val="24"/>
            </w:rPr>
            <w:fldChar w:fldCharType="separate"/>
          </w:r>
          <w:r>
            <w:rPr>
              <w:rFonts w:hint="eastAsia" w:ascii="楷体_GB2312" w:hAnsi="楷体_GB2312" w:eastAsia="楷体_GB2312" w:cs="楷体_GB2312"/>
              <w:bCs/>
              <w:sz w:val="24"/>
              <w:szCs w:val="24"/>
              <w:lang w:val="en-US" w:eastAsia="zh-CN"/>
            </w:rPr>
            <w:t>（二）事故现场应急处置情况</w:t>
          </w:r>
          <w:r>
            <w:rPr>
              <w:sz w:val="24"/>
              <w:szCs w:val="24"/>
            </w:rPr>
            <w:tab/>
          </w:r>
          <w:r>
            <w:rPr>
              <w:sz w:val="24"/>
              <w:szCs w:val="24"/>
            </w:rPr>
            <w:fldChar w:fldCharType="begin"/>
          </w:r>
          <w:r>
            <w:rPr>
              <w:sz w:val="24"/>
              <w:szCs w:val="24"/>
            </w:rPr>
            <w:instrText xml:space="preserve"> PAGEREF _Toc31292 \h </w:instrText>
          </w:r>
          <w:r>
            <w:rPr>
              <w:sz w:val="24"/>
              <w:szCs w:val="24"/>
            </w:rPr>
            <w:fldChar w:fldCharType="separate"/>
          </w:r>
          <w:r>
            <w:rPr>
              <w:sz w:val="24"/>
              <w:szCs w:val="24"/>
            </w:rPr>
            <w:t>8</w:t>
          </w:r>
          <w:r>
            <w:rPr>
              <w:sz w:val="24"/>
              <w:szCs w:val="24"/>
            </w:rPr>
            <w:fldChar w:fldCharType="end"/>
          </w:r>
          <w:r>
            <w:rPr>
              <w:sz w:val="24"/>
              <w:szCs w:val="24"/>
            </w:rPr>
            <w:fldChar w:fldCharType="end"/>
          </w:r>
        </w:p>
        <w:p w14:paraId="045C4DD8">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_Toc30881 </w:instrText>
          </w:r>
          <w:r>
            <w:rPr>
              <w:sz w:val="24"/>
              <w:szCs w:val="24"/>
            </w:rPr>
            <w:fldChar w:fldCharType="separate"/>
          </w:r>
          <w:r>
            <w:rPr>
              <w:rFonts w:hint="eastAsia" w:ascii="楷体_GB2312" w:hAnsi="楷体_GB2312" w:eastAsia="楷体_GB2312" w:cs="楷体_GB2312"/>
              <w:bCs/>
              <w:sz w:val="24"/>
              <w:szCs w:val="24"/>
              <w:lang w:val="en-US" w:eastAsia="zh-CN"/>
            </w:rPr>
            <w:t>（三）事故应急处置评估</w:t>
          </w:r>
          <w:r>
            <w:rPr>
              <w:sz w:val="24"/>
              <w:szCs w:val="24"/>
            </w:rPr>
            <w:tab/>
          </w:r>
          <w:r>
            <w:rPr>
              <w:sz w:val="24"/>
              <w:szCs w:val="24"/>
            </w:rPr>
            <w:fldChar w:fldCharType="begin"/>
          </w:r>
          <w:r>
            <w:rPr>
              <w:sz w:val="24"/>
              <w:szCs w:val="24"/>
            </w:rPr>
            <w:instrText xml:space="preserve"> PAGEREF _Toc30881 \h </w:instrText>
          </w:r>
          <w:r>
            <w:rPr>
              <w:sz w:val="24"/>
              <w:szCs w:val="24"/>
            </w:rPr>
            <w:fldChar w:fldCharType="separate"/>
          </w:r>
          <w:r>
            <w:rPr>
              <w:sz w:val="24"/>
              <w:szCs w:val="24"/>
            </w:rPr>
            <w:t>9</w:t>
          </w:r>
          <w:r>
            <w:rPr>
              <w:sz w:val="24"/>
              <w:szCs w:val="24"/>
            </w:rPr>
            <w:fldChar w:fldCharType="end"/>
          </w:r>
          <w:r>
            <w:rPr>
              <w:sz w:val="24"/>
              <w:szCs w:val="24"/>
            </w:rPr>
            <w:fldChar w:fldCharType="end"/>
          </w:r>
        </w:p>
        <w:p w14:paraId="3187B5A5">
          <w:pPr>
            <w:pStyle w:val="8"/>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_Toc13521 </w:instrText>
          </w:r>
          <w:r>
            <w:rPr>
              <w:sz w:val="24"/>
              <w:szCs w:val="24"/>
            </w:rPr>
            <w:fldChar w:fldCharType="separate"/>
          </w:r>
          <w:r>
            <w:rPr>
              <w:rFonts w:hint="eastAsia" w:ascii="黑体" w:hAnsi="黑体" w:eastAsia="黑体" w:cs="黑体"/>
              <w:sz w:val="24"/>
              <w:szCs w:val="24"/>
              <w:lang w:val="en-US" w:eastAsia="zh-CN"/>
            </w:rPr>
            <w:t>三、事故原因分析</w:t>
          </w:r>
          <w:r>
            <w:rPr>
              <w:sz w:val="24"/>
              <w:szCs w:val="24"/>
            </w:rPr>
            <w:tab/>
          </w:r>
          <w:r>
            <w:rPr>
              <w:sz w:val="24"/>
              <w:szCs w:val="24"/>
            </w:rPr>
            <w:fldChar w:fldCharType="begin"/>
          </w:r>
          <w:r>
            <w:rPr>
              <w:sz w:val="24"/>
              <w:szCs w:val="24"/>
            </w:rPr>
            <w:instrText xml:space="preserve"> PAGEREF _Toc13521 \h </w:instrText>
          </w:r>
          <w:r>
            <w:rPr>
              <w:sz w:val="24"/>
              <w:szCs w:val="24"/>
            </w:rPr>
            <w:fldChar w:fldCharType="separate"/>
          </w:r>
          <w:r>
            <w:rPr>
              <w:sz w:val="24"/>
              <w:szCs w:val="24"/>
            </w:rPr>
            <w:t>9</w:t>
          </w:r>
          <w:r>
            <w:rPr>
              <w:sz w:val="24"/>
              <w:szCs w:val="24"/>
            </w:rPr>
            <w:fldChar w:fldCharType="end"/>
          </w:r>
          <w:r>
            <w:rPr>
              <w:sz w:val="24"/>
              <w:szCs w:val="24"/>
            </w:rPr>
            <w:fldChar w:fldCharType="end"/>
          </w:r>
        </w:p>
        <w:p w14:paraId="0C443E01">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_Toc11670 </w:instrText>
          </w:r>
          <w:r>
            <w:rPr>
              <w:sz w:val="24"/>
              <w:szCs w:val="24"/>
            </w:rPr>
            <w:fldChar w:fldCharType="separate"/>
          </w:r>
          <w:r>
            <w:rPr>
              <w:rFonts w:hint="eastAsia" w:ascii="楷体_GB2312" w:hAnsi="楷体_GB2312" w:eastAsia="楷体_GB2312" w:cs="楷体_GB2312"/>
              <w:bCs/>
              <w:sz w:val="24"/>
              <w:szCs w:val="24"/>
              <w:lang w:val="en-US" w:eastAsia="zh-CN"/>
            </w:rPr>
            <w:t>（一）直接原因分析</w:t>
          </w:r>
          <w:r>
            <w:rPr>
              <w:sz w:val="24"/>
              <w:szCs w:val="24"/>
            </w:rPr>
            <w:tab/>
          </w:r>
          <w:r>
            <w:rPr>
              <w:sz w:val="24"/>
              <w:szCs w:val="24"/>
            </w:rPr>
            <w:fldChar w:fldCharType="begin"/>
          </w:r>
          <w:r>
            <w:rPr>
              <w:sz w:val="24"/>
              <w:szCs w:val="24"/>
            </w:rPr>
            <w:instrText xml:space="preserve"> PAGEREF _Toc11670 \h </w:instrText>
          </w:r>
          <w:r>
            <w:rPr>
              <w:sz w:val="24"/>
              <w:szCs w:val="24"/>
            </w:rPr>
            <w:fldChar w:fldCharType="separate"/>
          </w:r>
          <w:r>
            <w:rPr>
              <w:sz w:val="24"/>
              <w:szCs w:val="24"/>
            </w:rPr>
            <w:t>9</w:t>
          </w:r>
          <w:r>
            <w:rPr>
              <w:sz w:val="24"/>
              <w:szCs w:val="24"/>
            </w:rPr>
            <w:fldChar w:fldCharType="end"/>
          </w:r>
          <w:r>
            <w:rPr>
              <w:sz w:val="24"/>
              <w:szCs w:val="24"/>
            </w:rPr>
            <w:fldChar w:fldCharType="end"/>
          </w:r>
        </w:p>
        <w:p w14:paraId="490BB98F">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_Toc246 </w:instrText>
          </w:r>
          <w:r>
            <w:rPr>
              <w:sz w:val="24"/>
              <w:szCs w:val="24"/>
            </w:rPr>
            <w:fldChar w:fldCharType="separate"/>
          </w:r>
          <w:r>
            <w:rPr>
              <w:rFonts w:hint="eastAsia" w:ascii="楷体_GB2312" w:hAnsi="楷体_GB2312" w:eastAsia="楷体_GB2312" w:cs="楷体_GB2312"/>
              <w:bCs/>
              <w:sz w:val="24"/>
              <w:szCs w:val="24"/>
              <w:lang w:val="en-US" w:eastAsia="zh-CN"/>
            </w:rPr>
            <w:t>（二）间接原因分析</w:t>
          </w:r>
          <w:r>
            <w:rPr>
              <w:sz w:val="24"/>
              <w:szCs w:val="24"/>
            </w:rPr>
            <w:tab/>
          </w:r>
          <w:r>
            <w:rPr>
              <w:sz w:val="24"/>
              <w:szCs w:val="24"/>
            </w:rPr>
            <w:fldChar w:fldCharType="begin"/>
          </w:r>
          <w:r>
            <w:rPr>
              <w:sz w:val="24"/>
              <w:szCs w:val="24"/>
            </w:rPr>
            <w:instrText xml:space="preserve"> PAGEREF _Toc246 \h </w:instrText>
          </w:r>
          <w:r>
            <w:rPr>
              <w:sz w:val="24"/>
              <w:szCs w:val="24"/>
            </w:rPr>
            <w:fldChar w:fldCharType="separate"/>
          </w:r>
          <w:r>
            <w:rPr>
              <w:sz w:val="24"/>
              <w:szCs w:val="24"/>
            </w:rPr>
            <w:t>9</w:t>
          </w:r>
          <w:r>
            <w:rPr>
              <w:sz w:val="24"/>
              <w:szCs w:val="24"/>
            </w:rPr>
            <w:fldChar w:fldCharType="end"/>
          </w:r>
          <w:r>
            <w:rPr>
              <w:sz w:val="24"/>
              <w:szCs w:val="24"/>
            </w:rPr>
            <w:fldChar w:fldCharType="end"/>
          </w:r>
        </w:p>
        <w:p w14:paraId="0D3B8005">
          <w:pPr>
            <w:pStyle w:val="8"/>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_Toc15547 </w:instrText>
          </w:r>
          <w:r>
            <w:rPr>
              <w:sz w:val="24"/>
              <w:szCs w:val="24"/>
            </w:rPr>
            <w:fldChar w:fldCharType="separate"/>
          </w:r>
          <w:r>
            <w:rPr>
              <w:rFonts w:hint="eastAsia" w:ascii="黑体" w:hAnsi="黑体" w:eastAsia="黑体" w:cs="黑体"/>
              <w:sz w:val="24"/>
              <w:szCs w:val="24"/>
              <w:lang w:val="en-US" w:eastAsia="zh-CN"/>
            </w:rPr>
            <w:t>四、有关责任单位存在的主要问题</w:t>
          </w:r>
          <w:r>
            <w:rPr>
              <w:sz w:val="24"/>
              <w:szCs w:val="24"/>
            </w:rPr>
            <w:tab/>
          </w:r>
          <w:r>
            <w:rPr>
              <w:sz w:val="24"/>
              <w:szCs w:val="24"/>
            </w:rPr>
            <w:fldChar w:fldCharType="begin"/>
          </w:r>
          <w:r>
            <w:rPr>
              <w:sz w:val="24"/>
              <w:szCs w:val="24"/>
            </w:rPr>
            <w:instrText xml:space="preserve"> PAGEREF _Toc15547 \h </w:instrText>
          </w:r>
          <w:r>
            <w:rPr>
              <w:sz w:val="24"/>
              <w:szCs w:val="24"/>
            </w:rPr>
            <w:fldChar w:fldCharType="separate"/>
          </w:r>
          <w:r>
            <w:rPr>
              <w:sz w:val="24"/>
              <w:szCs w:val="24"/>
            </w:rPr>
            <w:t>10</w:t>
          </w:r>
          <w:r>
            <w:rPr>
              <w:sz w:val="24"/>
              <w:szCs w:val="24"/>
            </w:rPr>
            <w:fldChar w:fldCharType="end"/>
          </w:r>
          <w:r>
            <w:rPr>
              <w:sz w:val="24"/>
              <w:szCs w:val="24"/>
            </w:rPr>
            <w:fldChar w:fldCharType="end"/>
          </w:r>
        </w:p>
        <w:p w14:paraId="51504FE9">
          <w:pPr>
            <w:pStyle w:val="8"/>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_Toc29227 </w:instrText>
          </w:r>
          <w:r>
            <w:rPr>
              <w:sz w:val="24"/>
              <w:szCs w:val="24"/>
            </w:rPr>
            <w:fldChar w:fldCharType="separate"/>
          </w:r>
          <w:r>
            <w:rPr>
              <w:rFonts w:hint="eastAsia" w:ascii="黑体" w:hAnsi="黑体" w:eastAsia="黑体" w:cs="黑体"/>
              <w:sz w:val="24"/>
              <w:szCs w:val="24"/>
              <w:lang w:val="en-US" w:eastAsia="zh-CN"/>
            </w:rPr>
            <w:t>五、对有关责任人员和责任单位的处理建议</w:t>
          </w:r>
          <w:r>
            <w:rPr>
              <w:sz w:val="24"/>
              <w:szCs w:val="24"/>
            </w:rPr>
            <w:tab/>
          </w:r>
          <w:r>
            <w:rPr>
              <w:sz w:val="24"/>
              <w:szCs w:val="24"/>
            </w:rPr>
            <w:fldChar w:fldCharType="begin"/>
          </w:r>
          <w:r>
            <w:rPr>
              <w:sz w:val="24"/>
              <w:szCs w:val="24"/>
            </w:rPr>
            <w:instrText xml:space="preserve"> PAGEREF _Toc29227 \h </w:instrText>
          </w:r>
          <w:r>
            <w:rPr>
              <w:sz w:val="24"/>
              <w:szCs w:val="24"/>
            </w:rPr>
            <w:fldChar w:fldCharType="separate"/>
          </w:r>
          <w:r>
            <w:rPr>
              <w:sz w:val="24"/>
              <w:szCs w:val="24"/>
            </w:rPr>
            <w:t>10</w:t>
          </w:r>
          <w:r>
            <w:rPr>
              <w:sz w:val="24"/>
              <w:szCs w:val="24"/>
            </w:rPr>
            <w:fldChar w:fldCharType="end"/>
          </w:r>
          <w:r>
            <w:rPr>
              <w:sz w:val="24"/>
              <w:szCs w:val="24"/>
            </w:rPr>
            <w:fldChar w:fldCharType="end"/>
          </w:r>
        </w:p>
        <w:p w14:paraId="7B399EA1">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_Toc25500 </w:instrText>
          </w:r>
          <w:r>
            <w:rPr>
              <w:sz w:val="24"/>
              <w:szCs w:val="24"/>
            </w:rPr>
            <w:fldChar w:fldCharType="separate"/>
          </w:r>
          <w:r>
            <w:rPr>
              <w:rFonts w:hint="eastAsia" w:ascii="楷体_GB2312" w:hAnsi="楷体_GB2312" w:eastAsia="楷体_GB2312" w:cs="楷体_GB2312"/>
              <w:bCs/>
              <w:sz w:val="24"/>
              <w:szCs w:val="24"/>
              <w:lang w:val="en-US" w:eastAsia="zh-CN"/>
            </w:rPr>
            <w:t>（一）因在事故中死亡免予追究责任人员</w:t>
          </w:r>
          <w:r>
            <w:rPr>
              <w:sz w:val="24"/>
              <w:szCs w:val="24"/>
            </w:rPr>
            <w:tab/>
          </w:r>
          <w:r>
            <w:rPr>
              <w:sz w:val="24"/>
              <w:szCs w:val="24"/>
            </w:rPr>
            <w:fldChar w:fldCharType="begin"/>
          </w:r>
          <w:r>
            <w:rPr>
              <w:sz w:val="24"/>
              <w:szCs w:val="24"/>
            </w:rPr>
            <w:instrText xml:space="preserve"> PAGEREF _Toc25500 \h </w:instrText>
          </w:r>
          <w:r>
            <w:rPr>
              <w:sz w:val="24"/>
              <w:szCs w:val="24"/>
            </w:rPr>
            <w:fldChar w:fldCharType="separate"/>
          </w:r>
          <w:r>
            <w:rPr>
              <w:sz w:val="24"/>
              <w:szCs w:val="24"/>
            </w:rPr>
            <w:t>10</w:t>
          </w:r>
          <w:r>
            <w:rPr>
              <w:sz w:val="24"/>
              <w:szCs w:val="24"/>
            </w:rPr>
            <w:fldChar w:fldCharType="end"/>
          </w:r>
          <w:r>
            <w:rPr>
              <w:sz w:val="24"/>
              <w:szCs w:val="24"/>
            </w:rPr>
            <w:fldChar w:fldCharType="end"/>
          </w:r>
        </w:p>
        <w:p w14:paraId="59343A7E">
          <w:pPr>
            <w:pStyle w:val="10"/>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_Toc990 </w:instrText>
          </w:r>
          <w:r>
            <w:rPr>
              <w:sz w:val="24"/>
              <w:szCs w:val="24"/>
            </w:rPr>
            <w:fldChar w:fldCharType="separate"/>
          </w:r>
          <w:r>
            <w:rPr>
              <w:rFonts w:hint="eastAsia" w:ascii="楷体_GB2312" w:hAnsi="楷体_GB2312" w:eastAsia="楷体_GB2312" w:cs="楷体_GB2312"/>
              <w:bCs/>
              <w:sz w:val="24"/>
              <w:szCs w:val="24"/>
              <w:lang w:val="en-US" w:eastAsia="zh-CN"/>
            </w:rPr>
            <w:t>（二）对事故有关责任人员和责任单位的处理建议</w:t>
          </w:r>
          <w:r>
            <w:rPr>
              <w:sz w:val="24"/>
              <w:szCs w:val="24"/>
            </w:rPr>
            <w:tab/>
          </w:r>
          <w:r>
            <w:rPr>
              <w:sz w:val="24"/>
              <w:szCs w:val="24"/>
            </w:rPr>
            <w:fldChar w:fldCharType="begin"/>
          </w:r>
          <w:r>
            <w:rPr>
              <w:sz w:val="24"/>
              <w:szCs w:val="24"/>
            </w:rPr>
            <w:instrText xml:space="preserve"> PAGEREF _Toc990 \h </w:instrText>
          </w:r>
          <w:r>
            <w:rPr>
              <w:sz w:val="24"/>
              <w:szCs w:val="24"/>
            </w:rPr>
            <w:fldChar w:fldCharType="separate"/>
          </w:r>
          <w:r>
            <w:rPr>
              <w:sz w:val="24"/>
              <w:szCs w:val="24"/>
            </w:rPr>
            <w:t>10</w:t>
          </w:r>
          <w:r>
            <w:rPr>
              <w:sz w:val="24"/>
              <w:szCs w:val="24"/>
            </w:rPr>
            <w:fldChar w:fldCharType="end"/>
          </w:r>
          <w:r>
            <w:rPr>
              <w:sz w:val="24"/>
              <w:szCs w:val="24"/>
            </w:rPr>
            <w:fldChar w:fldCharType="end"/>
          </w:r>
        </w:p>
        <w:p w14:paraId="131350F2">
          <w:pPr>
            <w:pStyle w:val="8"/>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_Toc14213 </w:instrText>
          </w:r>
          <w:r>
            <w:rPr>
              <w:sz w:val="24"/>
              <w:szCs w:val="24"/>
            </w:rPr>
            <w:fldChar w:fldCharType="separate"/>
          </w:r>
          <w:r>
            <w:rPr>
              <w:rFonts w:hint="eastAsia" w:ascii="黑体" w:hAnsi="黑体" w:eastAsia="黑体" w:cs="黑体"/>
              <w:sz w:val="24"/>
              <w:szCs w:val="24"/>
              <w:lang w:val="en-US" w:eastAsia="zh-CN"/>
            </w:rPr>
            <w:t>六、事故主要教训</w:t>
          </w:r>
          <w:r>
            <w:rPr>
              <w:sz w:val="24"/>
              <w:szCs w:val="24"/>
            </w:rPr>
            <w:tab/>
          </w:r>
          <w:r>
            <w:rPr>
              <w:sz w:val="24"/>
              <w:szCs w:val="24"/>
            </w:rPr>
            <w:fldChar w:fldCharType="begin"/>
          </w:r>
          <w:r>
            <w:rPr>
              <w:sz w:val="24"/>
              <w:szCs w:val="24"/>
            </w:rPr>
            <w:instrText xml:space="preserve"> PAGEREF _Toc14213 \h </w:instrText>
          </w:r>
          <w:r>
            <w:rPr>
              <w:sz w:val="24"/>
              <w:szCs w:val="24"/>
            </w:rPr>
            <w:fldChar w:fldCharType="separate"/>
          </w:r>
          <w:r>
            <w:rPr>
              <w:sz w:val="24"/>
              <w:szCs w:val="24"/>
            </w:rPr>
            <w:t>11</w:t>
          </w:r>
          <w:r>
            <w:rPr>
              <w:sz w:val="24"/>
              <w:szCs w:val="24"/>
            </w:rPr>
            <w:fldChar w:fldCharType="end"/>
          </w:r>
          <w:r>
            <w:rPr>
              <w:sz w:val="24"/>
              <w:szCs w:val="24"/>
            </w:rPr>
            <w:fldChar w:fldCharType="end"/>
          </w:r>
        </w:p>
        <w:p w14:paraId="0A11AD98">
          <w:pPr>
            <w:pStyle w:val="8"/>
            <w:keepNext w:val="0"/>
            <w:keepLines w:val="0"/>
            <w:pageBreakBefore w:val="0"/>
            <w:widowControl w:val="0"/>
            <w:tabs>
              <w:tab w:val="right" w:leader="dot" w:pos="8845"/>
            </w:tabs>
            <w:kinsoku/>
            <w:wordWrap/>
            <w:overflowPunct/>
            <w:topLinePunct w:val="0"/>
            <w:autoSpaceDE/>
            <w:autoSpaceDN/>
            <w:bidi w:val="0"/>
            <w:adjustRightInd/>
            <w:snapToGrid/>
            <w:spacing w:line="360" w:lineRule="auto"/>
            <w:textAlignment w:val="auto"/>
            <w:rPr>
              <w:sz w:val="24"/>
              <w:szCs w:val="24"/>
            </w:rPr>
          </w:pPr>
          <w:r>
            <w:rPr>
              <w:sz w:val="24"/>
              <w:szCs w:val="24"/>
            </w:rPr>
            <w:fldChar w:fldCharType="begin"/>
          </w:r>
          <w:r>
            <w:rPr>
              <w:sz w:val="24"/>
              <w:szCs w:val="24"/>
            </w:rPr>
            <w:instrText xml:space="preserve"> HYPERLINK \l _Toc18621 </w:instrText>
          </w:r>
          <w:r>
            <w:rPr>
              <w:sz w:val="24"/>
              <w:szCs w:val="24"/>
            </w:rPr>
            <w:fldChar w:fldCharType="separate"/>
          </w:r>
          <w:r>
            <w:rPr>
              <w:rFonts w:hint="eastAsia" w:ascii="黑体" w:hAnsi="黑体" w:eastAsia="黑体" w:cs="黑体"/>
              <w:sz w:val="24"/>
              <w:szCs w:val="24"/>
              <w:lang w:val="en-US" w:eastAsia="zh-CN"/>
            </w:rPr>
            <w:t>七、事故整改和防范措施</w:t>
          </w:r>
          <w:r>
            <w:rPr>
              <w:sz w:val="24"/>
              <w:szCs w:val="24"/>
            </w:rPr>
            <w:tab/>
          </w:r>
          <w:r>
            <w:rPr>
              <w:sz w:val="24"/>
              <w:szCs w:val="24"/>
            </w:rPr>
            <w:fldChar w:fldCharType="begin"/>
          </w:r>
          <w:r>
            <w:rPr>
              <w:sz w:val="24"/>
              <w:szCs w:val="24"/>
            </w:rPr>
            <w:instrText xml:space="preserve"> PAGEREF _Toc18621 \h </w:instrText>
          </w:r>
          <w:r>
            <w:rPr>
              <w:sz w:val="24"/>
              <w:szCs w:val="24"/>
            </w:rPr>
            <w:fldChar w:fldCharType="separate"/>
          </w:r>
          <w:r>
            <w:rPr>
              <w:sz w:val="24"/>
              <w:szCs w:val="24"/>
            </w:rPr>
            <w:t>11</w:t>
          </w:r>
          <w:r>
            <w:rPr>
              <w:sz w:val="24"/>
              <w:szCs w:val="24"/>
            </w:rPr>
            <w:fldChar w:fldCharType="end"/>
          </w:r>
          <w:r>
            <w:rPr>
              <w:sz w:val="24"/>
              <w:szCs w:val="24"/>
            </w:rPr>
            <w:fldChar w:fldCharType="end"/>
          </w:r>
        </w:p>
        <w:p w14:paraId="7E9FCF0A">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ascii="宋体" w:hAnsi="宋体" w:eastAsia="宋体" w:cstheme="minorBidi"/>
              <w:b/>
              <w:kern w:val="2"/>
              <w:sz w:val="24"/>
              <w:szCs w:val="24"/>
              <w:lang w:val="en-US" w:eastAsia="zh-CN" w:bidi="ar-SA"/>
            </w:rPr>
          </w:pPr>
          <w:r>
            <w:rPr>
              <w:sz w:val="24"/>
              <w:szCs w:val="24"/>
            </w:rPr>
            <w:fldChar w:fldCharType="end"/>
          </w:r>
        </w:p>
      </w:sdtContent>
    </w:sdt>
    <w:p w14:paraId="224EA120">
      <w:pPr>
        <w:pStyle w:val="17"/>
      </w:pPr>
    </w:p>
    <w:p w14:paraId="78BC6977">
      <w:pPr>
        <w:bidi w:val="0"/>
      </w:pPr>
    </w:p>
    <w:p w14:paraId="5D9B2D6B">
      <w:pPr>
        <w:tabs>
          <w:tab w:val="left" w:pos="2246"/>
        </w:tabs>
        <w:bidi w:val="0"/>
        <w:jc w:val="left"/>
        <w:rPr>
          <w:rFonts w:hint="eastAsia"/>
          <w:lang w:eastAsia="zh-CN"/>
        </w:rPr>
      </w:pPr>
      <w:r>
        <w:rPr>
          <w:rFonts w:hint="eastAsia"/>
          <w:lang w:eastAsia="zh-CN"/>
        </w:rPr>
        <w:tab/>
      </w:r>
    </w:p>
    <w:p w14:paraId="25048D9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sectPr>
          <w:pgSz w:w="11906" w:h="16838"/>
          <w:pgMar w:top="2098" w:right="1474" w:bottom="1984" w:left="1587" w:header="851" w:footer="992" w:gutter="0"/>
          <w:pgNumType w:fmt="decimal"/>
          <w:cols w:space="425" w:num="1"/>
          <w:docGrid w:type="lines" w:linePitch="312" w:charSpace="0"/>
        </w:sectPr>
      </w:pPr>
      <w:bookmarkStart w:id="13" w:name="_Toc17515"/>
      <w:bookmarkStart w:id="14" w:name="_Toc29949"/>
      <w:bookmarkStart w:id="15" w:name="_Toc23753"/>
      <w:bookmarkStart w:id="16" w:name="_Toc6843"/>
      <w:bookmarkStart w:id="17" w:name="_Toc443"/>
      <w:bookmarkStart w:id="18" w:name="_Toc4015"/>
    </w:p>
    <w:p w14:paraId="522E6B44">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19" w:name="_Toc21175"/>
      <w:bookmarkStart w:id="20" w:name="_Toc5749"/>
      <w:bookmarkStart w:id="21" w:name="_Toc27045"/>
    </w:p>
    <w:p w14:paraId="01FECB6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22" w:name="_Toc10751"/>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青山红卫路青山52、53街坊P（2023）055号地块项目“5·28”一般高处坠落事故</w:t>
      </w:r>
      <w:bookmarkEnd w:id="22"/>
    </w:p>
    <w:p w14:paraId="64F899E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23" w:name="_Toc23939"/>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调查报告</w:t>
      </w:r>
      <w:bookmarkEnd w:id="23"/>
    </w:p>
    <w:bookmarkEnd w:id="13"/>
    <w:bookmarkEnd w:id="14"/>
    <w:bookmarkEnd w:id="15"/>
    <w:bookmarkEnd w:id="16"/>
    <w:bookmarkEnd w:id="17"/>
    <w:bookmarkEnd w:id="18"/>
    <w:bookmarkEnd w:id="19"/>
    <w:bookmarkEnd w:id="20"/>
    <w:bookmarkEnd w:id="21"/>
    <w:p w14:paraId="6F0294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E85D3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2026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28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日，青山</w:t>
      </w:r>
      <w:r>
        <w:rPr>
          <w:rFonts w:hint="eastAsia" w:ascii="宋体" w:hAnsi="宋体" w:eastAsia="宋体" w:cs="宋体"/>
          <w:color w:val="000000" w:themeColor="text1"/>
          <w:sz w:val="32"/>
          <w:szCs w:val="32"/>
          <w:lang w:val="en-US" w:eastAsia="zh-CN"/>
          <w14:textFill>
            <w14:solidFill>
              <w14:schemeClr w14:val="tx1"/>
            </w14:solidFill>
          </w14:textFill>
        </w:rPr>
        <w:t>52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53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街坊</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P</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055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号地块项目发生一起高处坠落事故，造成</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人死亡，直接经济损失</w:t>
      </w:r>
      <w:r>
        <w:rPr>
          <w:rFonts w:hint="eastAsia" w:ascii="宋体" w:hAnsi="宋体" w:eastAsia="宋体" w:cs="宋体"/>
          <w:color w:val="000000" w:themeColor="text1"/>
          <w:sz w:val="32"/>
          <w:szCs w:val="32"/>
          <w:lang w:val="en-US" w:eastAsia="zh-CN"/>
          <w14:textFill>
            <w14:solidFill>
              <w14:schemeClr w14:val="tx1"/>
            </w14:solidFill>
          </w14:textFill>
        </w:rPr>
        <w:t>155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w:t>
      </w:r>
    </w:p>
    <w:p w14:paraId="4B61FD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依据《中华人民共和国安全生产法》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以下简称“安全生产法”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《生产安全事故报告和调查处理条例》（国务院令第</w:t>
      </w:r>
      <w:r>
        <w:rPr>
          <w:rFonts w:hint="eastAsia" w:ascii="宋体" w:hAnsi="宋体" w:eastAsia="宋体" w:cs="宋体"/>
          <w:color w:val="000000" w:themeColor="text1"/>
          <w:sz w:val="32"/>
          <w:szCs w:val="32"/>
          <w:lang w:val="en-US" w:eastAsia="zh-CN"/>
          <w14:textFill>
            <w14:solidFill>
              <w14:schemeClr w14:val="tx1"/>
            </w14:solidFill>
          </w14:textFill>
        </w:rPr>
        <w:t>493</w:t>
      </w:r>
      <w:r>
        <w:rPr>
          <w:rFonts w:hint="eastAsia" w:ascii="仿宋_GB2312" w:hAnsi="仿宋_GB2312" w:eastAsia="仿宋_GB2312" w:cs="仿宋_GB2312"/>
          <w:color w:val="000000" w:themeColor="text1"/>
          <w:sz w:val="32"/>
          <w:szCs w:val="32"/>
          <w14:textFill>
            <w14:solidFill>
              <w14:schemeClr w14:val="tx1"/>
            </w14:solidFill>
          </w14:textFill>
        </w:rPr>
        <w:t>号）《湖北省生产安全事故报告和调查处理办法》（省政府令第</w:t>
      </w:r>
      <w:r>
        <w:rPr>
          <w:rFonts w:hint="eastAsia" w:ascii="宋体" w:hAnsi="宋体" w:eastAsia="宋体" w:cs="宋体"/>
          <w:color w:val="000000" w:themeColor="text1"/>
          <w:sz w:val="32"/>
          <w:szCs w:val="32"/>
          <w:lang w:val="en-US" w:eastAsia="zh-CN"/>
          <w14:textFill>
            <w14:solidFill>
              <w14:schemeClr w14:val="tx1"/>
            </w14:solidFill>
          </w14:textFill>
        </w:rPr>
        <w:t>354</w:t>
      </w:r>
      <w:r>
        <w:rPr>
          <w:rFonts w:hint="eastAsia" w:ascii="仿宋_GB2312" w:hAnsi="仿宋_GB2312" w:eastAsia="仿宋_GB2312" w:cs="仿宋_GB2312"/>
          <w:color w:val="000000" w:themeColor="text1"/>
          <w:sz w:val="32"/>
          <w:szCs w:val="32"/>
          <w14:textFill>
            <w14:solidFill>
              <w14:schemeClr w14:val="tx1"/>
            </w14:solidFill>
          </w14:textFill>
        </w:rPr>
        <w:t>号）等有关法律法规规定，区人民政府成立由</w:t>
      </w:r>
      <w:r>
        <w:rPr>
          <w:rFonts w:hint="eastAsia" w:ascii="仿宋_GB2312" w:hAnsi="仿宋_GB2312" w:eastAsia="仿宋_GB2312" w:cs="仿宋_GB2312"/>
          <w:b w:val="0"/>
          <w:bCs/>
          <w:sz w:val="32"/>
          <w:szCs w:val="32"/>
          <w:lang w:val="en-US" w:eastAsia="zh-CN"/>
        </w:rPr>
        <w:t>区应急管理局、区公安分局、区总工会、区资建局、红卫路街道办事处</w:t>
      </w:r>
      <w:r>
        <w:rPr>
          <w:rFonts w:hint="eastAsia" w:ascii="仿宋_GB2312" w:hAnsi="仿宋_GB2312" w:eastAsia="仿宋_GB2312" w:cs="仿宋_GB2312"/>
          <w:color w:val="000000" w:themeColor="text1"/>
          <w:sz w:val="32"/>
          <w:szCs w:val="32"/>
          <w14:textFill>
            <w14:solidFill>
              <w14:schemeClr w14:val="tx1"/>
            </w14:solidFill>
          </w14:textFill>
        </w:rPr>
        <w:t>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单位组成的</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28</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一般高处坠落事故</w:t>
      </w:r>
      <w:r>
        <w:rPr>
          <w:rFonts w:hint="eastAsia" w:ascii="仿宋_GB2312" w:hAnsi="仿宋_GB2312" w:eastAsia="仿宋_GB2312" w:cs="仿宋_GB2312"/>
          <w:color w:val="000000" w:themeColor="text1"/>
          <w:sz w:val="32"/>
          <w:szCs w:val="32"/>
          <w14:textFill>
            <w14:solidFill>
              <w14:schemeClr w14:val="tx1"/>
            </w14:solidFill>
          </w14:textFill>
        </w:rPr>
        <w:t>调查组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以下简称事故调查组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kern w:val="2"/>
          <w:sz w:val="32"/>
          <w:lang w:val="en-US" w:eastAsia="zh-CN" w:bidi="ar-SA"/>
          <w14:textFill>
            <w14:solidFill>
              <w14:schemeClr w14:val="tx1"/>
            </w14:solidFill>
          </w14:textFill>
        </w:rPr>
        <w:t>并邀请区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纪委监委、区检察院</w:t>
      </w:r>
      <w:r>
        <w:rPr>
          <w:rFonts w:hint="eastAsia" w:ascii="仿宋_GB2312" w:hAnsi="仿宋_GB2312" w:eastAsia="仿宋_GB2312" w:cs="仿宋_GB2312"/>
          <w:b w:val="0"/>
          <w:bCs/>
          <w:sz w:val="32"/>
          <w:szCs w:val="32"/>
          <w:lang w:val="en-US" w:eastAsia="zh-CN"/>
        </w:rPr>
        <w:t>有关部门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参加</w:t>
      </w:r>
      <w:r>
        <w:rPr>
          <w:rFonts w:hint="eastAsia" w:ascii="仿宋_GB2312" w:hAnsi="仿宋_GB2312" w:eastAsia="仿宋_GB2312" w:cs="仿宋_GB2312"/>
          <w:color w:val="000000" w:themeColor="text1"/>
          <w:kern w:val="2"/>
          <w:sz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对事故展开调查。</w:t>
      </w:r>
    </w:p>
    <w:p w14:paraId="541341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事故调查组按照“科学严谨、依法依规、实事求是、注重实效”和“四不放过”的原则，通过现场勘验、调查取证、人员询问和综合分析，查清了事故发生的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主要</w:t>
      </w:r>
      <w:r>
        <w:rPr>
          <w:rFonts w:hint="eastAsia" w:ascii="仿宋_GB2312" w:hAnsi="仿宋_GB2312" w:eastAsia="仿宋_GB2312" w:cs="仿宋_GB2312"/>
          <w:color w:val="000000" w:themeColor="text1"/>
          <w:sz w:val="32"/>
          <w:szCs w:val="32"/>
          <w14:textFill>
            <w14:solidFill>
              <w14:schemeClr w14:val="tx1"/>
            </w14:solidFill>
          </w14:textFill>
        </w:rPr>
        <w:t>经过、原因、人员伤亡和财产损失情况，认定了事故的性质和事故责任，提出了对有关责任人员及责任单位的处理建议和事故防范措施建议。</w:t>
      </w:r>
    </w:p>
    <w:p w14:paraId="7AA151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经调查认定，青山红卫路青山</w:t>
      </w:r>
      <w:r>
        <w:rPr>
          <w:rFonts w:hint="eastAsia" w:ascii="宋体" w:hAnsi="宋体" w:eastAsia="宋体" w:cs="宋体"/>
          <w:color w:val="000000" w:themeColor="text1"/>
          <w:sz w:val="32"/>
          <w:szCs w:val="32"/>
          <w:lang w:val="en-US" w:eastAsia="zh-CN"/>
          <w14:textFill>
            <w14:solidFill>
              <w14:schemeClr w14:val="tx1"/>
            </w14:solidFill>
          </w14:textFill>
        </w:rPr>
        <w:t>52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53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街坊</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P</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055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号地块项目“</w:t>
      </w:r>
      <w:r>
        <w:rPr>
          <w:rFonts w:hint="eastAsia" w:ascii="宋体" w:hAnsi="宋体" w:eastAsia="宋体" w:cs="宋体"/>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28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”一般高处坠落事故是一起因从业人员违规作业，现场安全管理缺位，安全教育培训不到位而造成的一般生产安全责任事故。</w:t>
      </w:r>
    </w:p>
    <w:p w14:paraId="11B72BA5">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楷体_GB2312" w:hAnsi="楷体_GB2312" w:eastAsia="楷体_GB2312" w:cs="楷体_GB2312"/>
          <w:b/>
          <w:bCs/>
          <w:sz w:val="32"/>
          <w:szCs w:val="32"/>
          <w:lang w:val="en-US" w:eastAsia="zh-CN"/>
        </w:rPr>
      </w:pPr>
      <w:bookmarkStart w:id="24" w:name="_Toc30915"/>
      <w:r>
        <w:rPr>
          <w:rFonts w:hint="eastAsia" w:ascii="黑体" w:hAnsi="黑体" w:eastAsia="黑体" w:cs="黑体"/>
          <w:sz w:val="32"/>
          <w:szCs w:val="32"/>
          <w:lang w:val="en-US" w:eastAsia="zh-CN"/>
        </w:rPr>
        <w:t>一、事故基本情况</w:t>
      </w:r>
      <w:bookmarkEnd w:id="24"/>
    </w:p>
    <w:p w14:paraId="19AB2083">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25" w:name="_Toc23759"/>
      <w:r>
        <w:rPr>
          <w:rFonts w:hint="eastAsia" w:ascii="楷体_GB2312" w:hAnsi="楷体_GB2312" w:eastAsia="楷体_GB2312" w:cs="楷体_GB2312"/>
          <w:b/>
          <w:bCs/>
          <w:sz w:val="32"/>
          <w:szCs w:val="32"/>
          <w:lang w:val="en-US" w:eastAsia="zh-CN"/>
        </w:rPr>
        <w:t>（一）事故发生单位及相关单位概况</w:t>
      </w:r>
      <w:bookmarkEnd w:id="25"/>
    </w:p>
    <w:p w14:paraId="5A11A313">
      <w:pPr>
        <w:pStyle w:val="17"/>
        <w:keepNext w:val="0"/>
        <w:keepLines w:val="0"/>
        <w:pageBreakBefore w:val="0"/>
        <w:widowControl w:val="0"/>
        <w:numPr>
          <w:ilvl w:val="0"/>
          <w:numId w:val="0"/>
        </w:numPr>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.湖北亘盛茂建设工程有限公司。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以下简</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亘盛茂公司”，劳务分包单位</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，统一社会信用代码：</w:t>
      </w:r>
      <w:r>
        <w:rPr>
          <w:rFonts w:hint="eastAsia" w:ascii="宋体" w:hAnsi="宋体" w:eastAsia="宋体" w:cs="宋体"/>
          <w:color w:val="000000" w:themeColor="text1"/>
          <w:sz w:val="32"/>
          <w:szCs w:val="32"/>
          <w:highlight w:val="none"/>
          <w:lang w:val="en-US" w:eastAsia="zh-CN"/>
          <w14:textFill>
            <w14:solidFill>
              <w14:schemeClr w14:val="tx1"/>
            </w14:solidFill>
          </w14:textFill>
        </w:rPr>
        <w:t>91420106</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MAC</w:t>
      </w:r>
      <w:r>
        <w:rPr>
          <w:rFonts w:hint="eastAsia" w:ascii="宋体" w:hAnsi="宋体" w:eastAsia="宋体" w:cs="宋体"/>
          <w:color w:val="000000" w:themeColor="text1"/>
          <w:sz w:val="32"/>
          <w:szCs w:val="32"/>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UM</w:t>
      </w:r>
      <w:r>
        <w:rPr>
          <w:rFonts w:hint="eastAsia" w:ascii="宋体" w:hAnsi="宋体" w:eastAsia="宋体" w:cs="宋体"/>
          <w:color w:val="000000" w:themeColor="text1"/>
          <w:sz w:val="32"/>
          <w:szCs w:val="32"/>
          <w:highlight w:val="none"/>
          <w:lang w:val="en-US" w:eastAsia="zh-CN"/>
          <w14:textFill>
            <w14:solidFill>
              <w14:schemeClr w14:val="tx1"/>
            </w14:solidFill>
          </w14:textFill>
        </w:rPr>
        <w:t>521</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W</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，类</w:t>
      </w:r>
      <w:r>
        <w:rPr>
          <w:rFonts w:hint="eastAsia" w:ascii="仿宋_GB2312" w:hAnsi="仿宋_GB2312" w:eastAsia="仿宋_GB2312" w:cs="仿宋_GB2312"/>
          <w:sz w:val="32"/>
          <w:szCs w:val="32"/>
          <w:highlight w:val="none"/>
          <w:lang w:val="en-US" w:eastAsia="zh-CN"/>
        </w:rPr>
        <w:t>型为</w:t>
      </w:r>
      <w:r>
        <w:rPr>
          <w:rFonts w:hint="eastAsia" w:ascii="仿宋_GB2312" w:hAnsi="仿宋_GB2312" w:eastAsia="仿宋_GB2312" w:cs="仿宋_GB2312"/>
          <w:sz w:val="32"/>
          <w:szCs w:val="32"/>
          <w:highlight w:val="none"/>
        </w:rPr>
        <w:t>其他有限责任公司</w:t>
      </w:r>
      <w:r>
        <w:rPr>
          <w:rFonts w:hint="eastAsia" w:ascii="仿宋_GB2312" w:hAnsi="仿宋_GB2312" w:eastAsia="仿宋_GB2312" w:cs="仿宋_GB2312"/>
          <w:sz w:val="32"/>
          <w:szCs w:val="32"/>
          <w:highlight w:val="none"/>
          <w:lang w:val="en-US" w:eastAsia="zh-CN"/>
        </w:rPr>
        <w:t>，成立于</w:t>
      </w:r>
      <w:r>
        <w:rPr>
          <w:rFonts w:hint="eastAsia" w:ascii="宋体" w:hAnsi="宋体" w:eastAsia="宋体" w:cs="宋体"/>
          <w:sz w:val="32"/>
          <w:szCs w:val="32"/>
          <w:highlight w:val="none"/>
          <w:lang w:val="en-US" w:eastAsia="zh-CN"/>
        </w:rPr>
        <w:t>2022</w:t>
      </w:r>
      <w:r>
        <w:rPr>
          <w:rFonts w:hint="eastAsia" w:ascii="仿宋_GB2312" w:hAnsi="仿宋_GB2312" w:eastAsia="仿宋_GB2312" w:cs="仿宋_GB2312"/>
          <w:sz w:val="32"/>
          <w:szCs w:val="32"/>
          <w:highlight w:val="none"/>
          <w:lang w:val="en-US" w:eastAsia="zh-CN"/>
        </w:rPr>
        <w:t>年</w:t>
      </w:r>
      <w:r>
        <w:rPr>
          <w:rFonts w:hint="eastAsia" w:ascii="宋体" w:hAnsi="宋体" w:eastAsia="宋体" w:cs="宋体"/>
          <w:sz w:val="32"/>
          <w:szCs w:val="32"/>
          <w:highlight w:val="none"/>
          <w:lang w:val="en-US" w:eastAsia="zh-CN"/>
        </w:rPr>
        <w:t>9</w:t>
      </w:r>
      <w:r>
        <w:rPr>
          <w:rFonts w:hint="eastAsia" w:ascii="仿宋_GB2312" w:hAnsi="仿宋_GB2312" w:eastAsia="仿宋_GB2312" w:cs="仿宋_GB2312"/>
          <w:sz w:val="32"/>
          <w:szCs w:val="32"/>
          <w:highlight w:val="none"/>
          <w:lang w:val="en-US" w:eastAsia="zh-CN"/>
        </w:rPr>
        <w:t>月</w:t>
      </w:r>
      <w:r>
        <w:rPr>
          <w:rFonts w:hint="eastAsia" w:ascii="宋体" w:hAnsi="宋体" w:eastAsia="宋体" w:cs="宋体"/>
          <w:sz w:val="32"/>
          <w:szCs w:val="32"/>
          <w:highlight w:val="none"/>
          <w:lang w:val="en-US" w:eastAsia="zh-CN"/>
        </w:rPr>
        <w:t>30</w:t>
      </w:r>
      <w:r>
        <w:rPr>
          <w:rFonts w:hint="eastAsia" w:ascii="仿宋_GB2312" w:hAnsi="仿宋_GB2312" w:eastAsia="仿宋_GB2312" w:cs="仿宋_GB2312"/>
          <w:sz w:val="32"/>
          <w:szCs w:val="32"/>
          <w:highlight w:val="none"/>
          <w:lang w:val="en-US" w:eastAsia="zh-CN"/>
        </w:rPr>
        <w:t>日，住所为湖北省宜昌高新区橘乡大道</w:t>
      </w:r>
      <w:r>
        <w:rPr>
          <w:rFonts w:hint="eastAsia" w:ascii="宋体" w:hAnsi="宋体" w:eastAsia="宋体" w:cs="宋体"/>
          <w:sz w:val="32"/>
          <w:szCs w:val="32"/>
          <w:highlight w:val="none"/>
          <w:lang w:val="en-US" w:eastAsia="zh-CN"/>
        </w:rPr>
        <w:t>533</w:t>
      </w:r>
      <w:r>
        <w:rPr>
          <w:rFonts w:hint="eastAsia" w:ascii="仿宋_GB2312" w:hAnsi="仿宋_GB2312" w:eastAsia="仿宋_GB2312" w:cs="仿宋_GB2312"/>
          <w:sz w:val="32"/>
          <w:szCs w:val="32"/>
          <w:highlight w:val="none"/>
          <w:lang w:val="en-US" w:eastAsia="zh-CN"/>
        </w:rPr>
        <w:t>号</w:t>
      </w:r>
      <w:r>
        <w:rPr>
          <w:rFonts w:hint="eastAsia" w:ascii="宋体" w:hAnsi="宋体" w:eastAsia="宋体" w:cs="宋体"/>
          <w:sz w:val="32"/>
          <w:szCs w:val="32"/>
          <w:highlight w:val="none"/>
          <w:lang w:val="en-US" w:eastAsia="zh-CN"/>
        </w:rPr>
        <w:t>1</w:t>
      </w:r>
      <w:r>
        <w:rPr>
          <w:rFonts w:hint="eastAsia" w:ascii="仿宋_GB2312" w:hAnsi="仿宋_GB2312" w:eastAsia="仿宋_GB2312" w:cs="仿宋_GB2312"/>
          <w:sz w:val="32"/>
          <w:szCs w:val="32"/>
          <w:highlight w:val="none"/>
          <w:lang w:val="en-US" w:eastAsia="zh-CN"/>
        </w:rPr>
        <w:t>号楼</w:t>
      </w:r>
      <w:r>
        <w:rPr>
          <w:rFonts w:hint="eastAsia" w:ascii="宋体" w:hAnsi="宋体" w:eastAsia="宋体" w:cs="宋体"/>
          <w:sz w:val="32"/>
          <w:szCs w:val="32"/>
          <w:highlight w:val="none"/>
          <w:lang w:val="en-US" w:eastAsia="zh-CN"/>
        </w:rPr>
        <w:t>1001</w:t>
      </w:r>
      <w:r>
        <w:rPr>
          <w:rFonts w:hint="eastAsia" w:ascii="仿宋_GB2312" w:hAnsi="仿宋_GB2312" w:eastAsia="仿宋_GB2312" w:cs="仿宋_GB2312"/>
          <w:sz w:val="32"/>
          <w:szCs w:val="32"/>
          <w:highlight w:val="none"/>
          <w:lang w:val="en-US" w:eastAsia="zh-CN"/>
        </w:rPr>
        <w:t>室，经营范围：许可项目：建设工程施工；建筑劳务分包</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等。持有湖北省住房和城乡建设厅颁发的《建筑业企业资质证书》，编号</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D</w:t>
      </w:r>
      <w:r>
        <w:rPr>
          <w:rFonts w:hint="eastAsia" w:ascii="宋体" w:hAnsi="宋体" w:eastAsia="宋体" w:cs="宋体"/>
          <w:color w:val="000000" w:themeColor="text1"/>
          <w:sz w:val="32"/>
          <w:szCs w:val="32"/>
          <w:highlight w:val="none"/>
          <w:lang w:val="en-US" w:eastAsia="zh-CN"/>
          <w14:textFill>
            <w14:solidFill>
              <w14:schemeClr w14:val="tx1"/>
            </w14:solidFill>
          </w14:textFill>
        </w:rPr>
        <w:t>242304463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，有效期至</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2028</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12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12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日，资质类别及等级为建筑工程施工总承包贰级。</w:t>
      </w:r>
    </w:p>
    <w:p w14:paraId="78FAE58E">
      <w:pPr>
        <w:pStyle w:val="17"/>
        <w:keepNext w:val="0"/>
        <w:keepLines w:val="0"/>
        <w:pageBreakBefore w:val="0"/>
        <w:widowControl w:val="0"/>
        <w:numPr>
          <w:ilvl w:val="0"/>
          <w:numId w:val="0"/>
        </w:numPr>
        <w:kinsoku/>
        <w:wordWrap/>
        <w:overflowPunct/>
        <w:topLinePunct/>
        <w:autoSpaceDE/>
        <w:autoSpaceDN/>
        <w:bidi w:val="0"/>
        <w:adjustRightInd w:val="0"/>
        <w:snapToGrid w:val="0"/>
        <w:spacing w:line="560" w:lineRule="exact"/>
        <w:ind w:firstLine="643" w:firstLineChars="200"/>
        <w:jc w:val="both"/>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中国葛洲坝集团第一工程有限公司。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以下简</w:t>
      </w:r>
      <w:r>
        <w:rPr>
          <w:rFonts w:hint="eastAsia" w:ascii="仿宋_GB2312" w:hAnsi="仿宋_GB2312" w:eastAsia="仿宋_GB2312" w:cs="仿宋_GB2312"/>
          <w:sz w:val="32"/>
          <w:szCs w:val="32"/>
          <w:highlight w:val="none"/>
          <w:lang w:val="en-US" w:eastAsia="zh-CN"/>
        </w:rPr>
        <w:t>称“葛洲坝第一工程公司”，施工单位，统一社会信用代码：</w:t>
      </w:r>
      <w:r>
        <w:rPr>
          <w:rFonts w:hint="eastAsia" w:ascii="宋体" w:hAnsi="宋体" w:eastAsia="宋体" w:cs="宋体"/>
          <w:sz w:val="32"/>
          <w:szCs w:val="32"/>
          <w:highlight w:val="none"/>
          <w:lang w:val="en-US" w:eastAsia="zh-CN"/>
        </w:rPr>
        <w:t>914200006155738681</w:t>
      </w:r>
      <w:r>
        <w:rPr>
          <w:rFonts w:hint="eastAsia" w:ascii="仿宋_GB2312" w:hAnsi="仿宋_GB2312" w:eastAsia="仿宋_GB2312" w:cs="仿宋_GB2312"/>
          <w:sz w:val="32"/>
          <w:szCs w:val="32"/>
          <w:highlight w:val="none"/>
          <w:lang w:val="en-US" w:eastAsia="zh-CN"/>
        </w:rPr>
        <w:t>，类型为其他有限责任公司，成立于</w:t>
      </w:r>
      <w:r>
        <w:rPr>
          <w:rFonts w:hint="eastAsia" w:ascii="宋体" w:hAnsi="宋体" w:eastAsia="宋体" w:cs="宋体"/>
          <w:sz w:val="32"/>
          <w:szCs w:val="32"/>
          <w:highlight w:val="none"/>
          <w:lang w:val="en-US" w:eastAsia="zh-CN"/>
        </w:rPr>
        <w:t>1997</w:t>
      </w:r>
      <w:r>
        <w:rPr>
          <w:rFonts w:hint="eastAsia" w:ascii="仿宋_GB2312" w:hAnsi="仿宋_GB2312" w:eastAsia="仿宋_GB2312" w:cs="仿宋_GB2312"/>
          <w:sz w:val="32"/>
          <w:szCs w:val="32"/>
          <w:highlight w:val="none"/>
          <w:lang w:val="en-US" w:eastAsia="zh-CN"/>
        </w:rPr>
        <w:t>年</w:t>
      </w:r>
      <w:r>
        <w:rPr>
          <w:rFonts w:hint="eastAsia" w:ascii="宋体" w:hAnsi="宋体" w:eastAsia="宋体" w:cs="宋体"/>
          <w:sz w:val="32"/>
          <w:szCs w:val="32"/>
          <w:highlight w:val="none"/>
          <w:lang w:val="en-US" w:eastAsia="zh-CN"/>
        </w:rPr>
        <w:t>10</w:t>
      </w:r>
      <w:r>
        <w:rPr>
          <w:rFonts w:hint="eastAsia" w:ascii="仿宋_GB2312" w:hAnsi="仿宋_GB2312" w:eastAsia="仿宋_GB2312" w:cs="仿宋_GB2312"/>
          <w:sz w:val="32"/>
          <w:szCs w:val="32"/>
          <w:highlight w:val="none"/>
          <w:lang w:val="en-US" w:eastAsia="zh-CN"/>
        </w:rPr>
        <w:t>月</w:t>
      </w:r>
      <w:r>
        <w:rPr>
          <w:rFonts w:hint="eastAsia" w:ascii="宋体" w:hAnsi="宋体" w:eastAsia="宋体" w:cs="宋体"/>
          <w:sz w:val="32"/>
          <w:szCs w:val="32"/>
          <w:highlight w:val="none"/>
          <w:lang w:val="en-US" w:eastAsia="zh-CN"/>
        </w:rPr>
        <w:t>7</w:t>
      </w:r>
      <w:r>
        <w:rPr>
          <w:rFonts w:hint="eastAsia" w:ascii="仿宋_GB2312" w:hAnsi="仿宋_GB2312" w:eastAsia="仿宋_GB2312" w:cs="仿宋_GB2312"/>
          <w:sz w:val="32"/>
          <w:szCs w:val="32"/>
          <w:highlight w:val="none"/>
          <w:lang w:val="en-US" w:eastAsia="zh-CN"/>
        </w:rPr>
        <w:t>日，住所为湖北省宜昌市东山大道</w:t>
      </w:r>
      <w:r>
        <w:rPr>
          <w:rFonts w:hint="eastAsia" w:ascii="宋体" w:hAnsi="宋体" w:eastAsia="宋体" w:cs="宋体"/>
          <w:sz w:val="32"/>
          <w:szCs w:val="32"/>
          <w:highlight w:val="none"/>
          <w:lang w:val="en-US" w:eastAsia="zh-CN"/>
        </w:rPr>
        <w:t>54</w:t>
      </w:r>
      <w:r>
        <w:rPr>
          <w:rFonts w:hint="eastAsia" w:ascii="仿宋_GB2312" w:hAnsi="仿宋_GB2312" w:eastAsia="仿宋_GB2312" w:cs="仿宋_GB2312"/>
          <w:sz w:val="32"/>
          <w:szCs w:val="32"/>
          <w:highlight w:val="none"/>
          <w:lang w:val="en-US" w:eastAsia="zh-CN"/>
        </w:rPr>
        <w:t>号，经营范围：许可项目 : 建设工程施工;建设工程勘察;建设工程设计等。持有</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湖北省住房和城乡建设厅颁发的《安全生产许可证》，</w:t>
      </w:r>
      <w:r>
        <w:rPr>
          <w:rFonts w:hint="eastAsia" w:ascii="仿宋_GB2312" w:hAnsi="仿宋_GB2312" w:eastAsia="仿宋_GB2312" w:cs="仿宋_GB2312"/>
          <w:sz w:val="32"/>
          <w:szCs w:val="32"/>
          <w:lang w:val="en-US" w:eastAsia="zh-CN"/>
        </w:rPr>
        <w:t>编号：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（鄂）</w:t>
      </w:r>
      <w:r>
        <w:rPr>
          <w:rFonts w:hint="eastAsia" w:ascii="Times New Roman" w:hAnsi="Times New Roman" w:eastAsia="宋体" w:cs="Times New Roman"/>
          <w:color w:val="000000" w:themeColor="text1"/>
          <w:kern w:val="2"/>
          <w:sz w:val="32"/>
          <w:szCs w:val="32"/>
          <w:u w:val="none"/>
          <w:lang w:val="en-US" w:eastAsia="zh-CN" w:bidi="ar-SA"/>
          <w14:textFill>
            <w14:solidFill>
              <w14:schemeClr w14:val="tx1"/>
            </w14:solidFill>
          </w14:textFill>
        </w:rPr>
        <w:t>JZ</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安许证字〔</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2005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000020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，有效期至</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2028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10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15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持有中华人民共和国住房和城乡建设部颁发的《建筑业企业资质证书》，编号</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D</w:t>
      </w:r>
      <w:r>
        <w:rPr>
          <w:rFonts w:hint="eastAsia" w:ascii="宋体" w:hAnsi="宋体" w:eastAsia="宋体" w:cs="宋体"/>
          <w:color w:val="000000" w:themeColor="text1"/>
          <w:sz w:val="32"/>
          <w:szCs w:val="32"/>
          <w:highlight w:val="none"/>
          <w:lang w:val="en-US" w:eastAsia="zh-CN"/>
          <w14:textFill>
            <w14:solidFill>
              <w14:schemeClr w14:val="tx1"/>
            </w14:solidFill>
          </w14:textFill>
        </w:rPr>
        <w:t>142026087</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，有效期至</w:t>
      </w:r>
      <w:r>
        <w:rPr>
          <w:rFonts w:hint="eastAsia" w:ascii="宋体" w:hAnsi="宋体" w:eastAsia="宋体" w:cs="宋体"/>
          <w:color w:val="000000" w:themeColor="text1"/>
          <w:sz w:val="32"/>
          <w:szCs w:val="32"/>
          <w:highlight w:val="none"/>
          <w:lang w:val="en-US" w:eastAsia="zh-CN"/>
          <w14:textFill>
            <w14:solidFill>
              <w14:schemeClr w14:val="tx1"/>
            </w14:solidFill>
          </w14:textFill>
        </w:rPr>
        <w:t>2028</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宋体" w:hAnsi="宋体" w:eastAsia="宋体" w:cs="宋体"/>
          <w:color w:val="000000" w:themeColor="text1"/>
          <w:sz w:val="32"/>
          <w:szCs w:val="32"/>
          <w:highlight w:val="none"/>
          <w:lang w:val="en-US" w:eastAsia="zh-CN"/>
          <w14:textFill>
            <w14:solidFill>
              <w14:schemeClr w14:val="tx1"/>
            </w14:solidFill>
          </w14:textFill>
        </w:rPr>
        <w:t>12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ascii="宋体" w:hAnsi="宋体" w:eastAsia="宋体" w:cs="宋体"/>
          <w:color w:val="000000" w:themeColor="text1"/>
          <w:sz w:val="32"/>
          <w:szCs w:val="32"/>
          <w:highlight w:val="none"/>
          <w:lang w:val="en-US" w:eastAsia="zh-CN"/>
          <w14:textFill>
            <w14:solidFill>
              <w14:schemeClr w14:val="tx1"/>
            </w14:solidFill>
          </w14:textFill>
        </w:rPr>
        <w:t>28</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日，资质类别及等级为建筑工程施工总承包壹级等。 </w:t>
      </w:r>
    </w:p>
    <w:p w14:paraId="08B513A3">
      <w:pPr>
        <w:pStyle w:val="17"/>
        <w:keepNext w:val="0"/>
        <w:keepLines w:val="0"/>
        <w:pageBreakBefore w:val="0"/>
        <w:widowControl w:val="0"/>
        <w:numPr>
          <w:ilvl w:val="0"/>
          <w:numId w:val="0"/>
        </w:numPr>
        <w:kinsoku/>
        <w:wordWrap/>
        <w:overflowPunct/>
        <w:topLinePunct/>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.湖北东泰建设管理咨询有限公司。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以下简称“东泰咨询公司”，监理单位，统一社会信用代码：</w:t>
      </w:r>
      <w:r>
        <w:rPr>
          <w:rFonts w:hint="eastAsia" w:ascii="宋体" w:hAnsi="宋体" w:eastAsia="宋体" w:cs="宋体"/>
          <w:color w:val="000000" w:themeColor="text1"/>
          <w:sz w:val="32"/>
          <w:szCs w:val="32"/>
          <w:lang w:val="en-US" w:eastAsia="zh-CN"/>
          <w14:textFill>
            <w14:solidFill>
              <w14:schemeClr w14:val="tx1"/>
            </w14:solidFill>
          </w14:textFill>
        </w:rPr>
        <w:t>91420106714639965</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D</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，类型为有限责任公司(自然人投资或控股)，成立于</w:t>
      </w:r>
      <w:r>
        <w:rPr>
          <w:rFonts w:hint="eastAsia" w:ascii="宋体" w:hAnsi="宋体" w:eastAsia="宋体" w:cs="宋体"/>
          <w:color w:val="000000" w:themeColor="text1"/>
          <w:sz w:val="32"/>
          <w:szCs w:val="32"/>
          <w:lang w:val="en-US" w:eastAsia="zh-CN"/>
          <w14:textFill>
            <w14:solidFill>
              <w14:schemeClr w14:val="tx1"/>
            </w14:solidFill>
          </w14:textFill>
        </w:rPr>
        <w:t>2000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日，住所为武昌区水果湖街道中北路</w:t>
      </w:r>
      <w:r>
        <w:rPr>
          <w:rFonts w:hint="eastAsia" w:ascii="宋体" w:hAnsi="宋体" w:eastAsia="宋体" w:cs="宋体"/>
          <w:color w:val="000000" w:themeColor="text1"/>
          <w:sz w:val="32"/>
          <w:szCs w:val="32"/>
          <w:lang w:val="en-US" w:eastAsia="zh-CN"/>
          <w14:textFill>
            <w14:solidFill>
              <w14:schemeClr w14:val="tx1"/>
            </w14:solidFill>
          </w14:textFill>
        </w:rPr>
        <w:t>86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号汉街武汉中央文化旅游区</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K</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地块</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栋</w:t>
      </w:r>
      <w:r>
        <w:rPr>
          <w:rFonts w:hint="eastAsia" w:ascii="宋体" w:hAnsi="宋体" w:eastAsia="宋体" w:cs="宋体"/>
          <w:color w:val="000000" w:themeColor="text1"/>
          <w:sz w:val="32"/>
          <w:szCs w:val="32"/>
          <w:lang w:val="en-US" w:eastAsia="zh-CN"/>
          <w14:textFill>
            <w14:solidFill>
              <w14:schemeClr w14:val="tx1"/>
            </w14:solidFill>
          </w14:textFill>
        </w:rPr>
        <w:t>10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层</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室</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号房，经营范围：许可项目：建设工程监理等。持有</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中华人民共和国住房和城乡建设部颁发的《工程监理资质证书》，</w:t>
      </w:r>
      <w:r>
        <w:rPr>
          <w:rFonts w:hint="eastAsia" w:ascii="仿宋_GB2312" w:hAnsi="仿宋_GB2312" w:eastAsia="仿宋_GB2312" w:cs="仿宋_GB2312"/>
          <w:sz w:val="32"/>
          <w:szCs w:val="32"/>
          <w:highlight w:val="none"/>
          <w:lang w:val="en-US" w:eastAsia="zh-CN"/>
        </w:rPr>
        <w:t>编号：</w:t>
      </w:r>
      <w:r>
        <w:rPr>
          <w:rFonts w:hint="eastAsia" w:ascii="Times New Roman" w:hAnsi="Times New Roman" w:eastAsia="仿宋_GB2312" w:cs="Times New Roman"/>
          <w:sz w:val="32"/>
          <w:szCs w:val="32"/>
          <w:highlight w:val="none"/>
          <w:lang w:val="en-US" w:eastAsia="zh-CN"/>
        </w:rPr>
        <w:t>E</w:t>
      </w:r>
      <w:r>
        <w:rPr>
          <w:rFonts w:hint="eastAsia" w:ascii="宋体" w:hAnsi="宋体" w:eastAsia="宋体" w:cs="宋体"/>
          <w:sz w:val="32"/>
          <w:szCs w:val="32"/>
          <w:highlight w:val="none"/>
          <w:lang w:val="en-US" w:eastAsia="zh-CN"/>
        </w:rPr>
        <w:t>142004051</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有效期至</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2029</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6</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lang w:val="en-US" w:eastAsia="zh-CN" w:bidi="ar-SA"/>
          <w14:textFill>
            <w14:solidFill>
              <w14:schemeClr w14:val="tx1"/>
            </w14:solidFill>
          </w14:textFill>
        </w:rPr>
        <w:t>25</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日，资质等级包括房屋建筑工程监理甲级等。</w:t>
      </w:r>
    </w:p>
    <w:p w14:paraId="3ED3ED86">
      <w:pPr>
        <w:pStyle w:val="17"/>
        <w:keepNext w:val="0"/>
        <w:keepLines w:val="0"/>
        <w:pageBreakBefore w:val="0"/>
        <w:widowControl w:val="0"/>
        <w:numPr>
          <w:ilvl w:val="0"/>
          <w:numId w:val="0"/>
        </w:numPr>
        <w:kinsoku/>
        <w:wordWrap/>
        <w:overflowPunct/>
        <w:autoSpaceDE/>
        <w:autoSpaceDN/>
        <w:bidi w:val="0"/>
        <w:spacing w:line="560" w:lineRule="exact"/>
        <w:ind w:firstLine="643" w:firstLineChars="200"/>
        <w:jc w:val="both"/>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.武汉青城兰园房地产开发有限公司。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以下简称“青城兰园公司”，建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设单位，统一社会信用代码：</w:t>
      </w:r>
      <w:r>
        <w:rPr>
          <w:rFonts w:hint="eastAsia" w:ascii="宋体" w:hAnsi="宋体" w:eastAsia="宋体" w:cs="宋体"/>
          <w:color w:val="000000" w:themeColor="text1"/>
          <w:sz w:val="32"/>
          <w:szCs w:val="32"/>
          <w:highlight w:val="none"/>
          <w:lang w:val="en-US" w:eastAsia="zh-CN"/>
          <w14:textFill>
            <w14:solidFill>
              <w14:schemeClr w14:val="tx1"/>
            </w14:solidFill>
          </w14:textFill>
        </w:rPr>
        <w:t>91420107</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MACYXU</w:t>
      </w:r>
      <w:r>
        <w:rPr>
          <w:rFonts w:hint="eastAsia" w:ascii="宋体" w:hAnsi="宋体" w:eastAsia="宋体" w:cs="宋体"/>
          <w:color w:val="000000" w:themeColor="text1"/>
          <w:sz w:val="32"/>
          <w:szCs w:val="32"/>
          <w:highlight w:val="none"/>
          <w:lang w:val="en-US" w:eastAsia="zh-CN"/>
          <w14:textFill>
            <w14:solidFill>
              <w14:schemeClr w14:val="tx1"/>
            </w14:solidFill>
          </w14:textFill>
        </w:rPr>
        <w:t>5</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E</w:t>
      </w:r>
      <w:r>
        <w:rPr>
          <w:rFonts w:hint="eastAsia" w:ascii="宋体" w:hAnsi="宋体" w:eastAsia="宋体" w:cs="宋体"/>
          <w:color w:val="000000" w:themeColor="text1"/>
          <w:sz w:val="32"/>
          <w:szCs w:val="32"/>
          <w:highlight w:val="none"/>
          <w:lang w:val="en-US" w:eastAsia="zh-CN"/>
          <w14:textFill>
            <w14:solidFill>
              <w14:schemeClr w14:val="tx1"/>
            </w14:solidFill>
          </w14:textFill>
        </w:rPr>
        <w:t>83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，类型</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为有限责任公司(非自然人投资或控股的法人独资)</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，成立于</w:t>
      </w:r>
      <w:r>
        <w:rPr>
          <w:rFonts w:hint="eastAsia" w:ascii="宋体" w:hAnsi="宋体" w:eastAsia="宋体" w:cs="宋体"/>
          <w:color w:val="000000" w:themeColor="text1"/>
          <w:sz w:val="32"/>
          <w:szCs w:val="32"/>
          <w:highlight w:val="none"/>
          <w:lang w:val="en-US" w:eastAsia="zh-CN"/>
          <w14:textFill>
            <w14:solidFill>
              <w14:schemeClr w14:val="tx1"/>
            </w14:solidFill>
          </w14:textFill>
        </w:rPr>
        <w:t>2023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宋体" w:hAnsi="宋体" w:eastAsia="宋体" w:cs="宋体"/>
          <w:color w:val="000000" w:themeColor="text1"/>
          <w:sz w:val="32"/>
          <w:szCs w:val="32"/>
          <w:highlight w:val="none"/>
          <w:lang w:val="en-US" w:eastAsia="zh-CN"/>
          <w14:textFill>
            <w14:solidFill>
              <w14:schemeClr w14:val="tx1"/>
            </w14:solidFill>
          </w14:textFill>
        </w:rPr>
        <w:t>9</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ascii="宋体" w:hAnsi="宋体" w:eastAsia="宋体" w:cs="宋体"/>
          <w:color w:val="000000" w:themeColor="text1"/>
          <w:sz w:val="32"/>
          <w:szCs w:val="32"/>
          <w:highlight w:val="none"/>
          <w:lang w:val="en-US" w:eastAsia="zh-CN"/>
          <w14:textFill>
            <w14:solidFill>
              <w14:schemeClr w14:val="tx1"/>
            </w14:solidFill>
          </w14:textFill>
        </w:rPr>
        <w:t>27</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日，住所为湖北省武汉市青山区建设一路</w:t>
      </w:r>
      <w:r>
        <w:rPr>
          <w:rFonts w:hint="eastAsia" w:ascii="宋体" w:hAnsi="宋体" w:eastAsia="宋体" w:cs="宋体"/>
          <w:color w:val="000000" w:themeColor="text1"/>
          <w:sz w:val="32"/>
          <w:szCs w:val="32"/>
          <w:highlight w:val="none"/>
          <w:lang w:val="en-US" w:eastAsia="zh-CN"/>
          <w14:textFill>
            <w14:solidFill>
              <w14:schemeClr w14:val="tx1"/>
            </w14:solidFill>
          </w14:textFill>
        </w:rPr>
        <w:t>31</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号宝业中心</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A</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座</w:t>
      </w:r>
      <w:r>
        <w:rPr>
          <w:rFonts w:hint="eastAsia" w:ascii="宋体" w:hAnsi="宋体" w:eastAsia="宋体" w:cs="宋体"/>
          <w:color w:val="000000" w:themeColor="text1"/>
          <w:sz w:val="32"/>
          <w:szCs w:val="32"/>
          <w:highlight w:val="none"/>
          <w:lang w:val="en-US" w:eastAsia="zh-CN"/>
          <w14:textFill>
            <w14:solidFill>
              <w14:schemeClr w14:val="tx1"/>
            </w14:solidFill>
          </w14:textFill>
        </w:rPr>
        <w:t>9</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宋体" w:hAnsi="宋体" w:eastAsia="宋体" w:cs="宋体"/>
          <w:color w:val="000000" w:themeColor="text1"/>
          <w:sz w:val="32"/>
          <w:szCs w:val="32"/>
          <w:highlight w:val="none"/>
          <w:lang w:val="en-US" w:eastAsia="zh-CN"/>
          <w14:textFill>
            <w14:solidFill>
              <w14:schemeClr w14:val="tx1"/>
            </w14:solidFill>
          </w14:textFill>
        </w:rPr>
        <w:t>14</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层办公室</w:t>
      </w:r>
      <w:r>
        <w:rPr>
          <w:rFonts w:hint="eastAsia" w:ascii="Times New Roman" w:hAnsi="Times New Roman" w:eastAsia="宋体" w:cs="Times New Roman"/>
          <w:color w:val="000000" w:themeColor="text1"/>
          <w:sz w:val="32"/>
          <w:szCs w:val="32"/>
          <w:highlight w:val="none"/>
          <w:lang w:val="en-US" w:eastAsia="zh-CN"/>
          <w14:textFill>
            <w14:solidFill>
              <w14:schemeClr w14:val="tx1"/>
            </w14:solidFill>
          </w14:textFill>
        </w:rPr>
        <w:t>B</w:t>
      </w:r>
      <w:r>
        <w:rPr>
          <w:rFonts w:hint="eastAsia" w:ascii="宋体" w:hAnsi="宋体" w:eastAsia="宋体" w:cs="宋体"/>
          <w:color w:val="000000" w:themeColor="text1"/>
          <w:sz w:val="32"/>
          <w:szCs w:val="32"/>
          <w:highlight w:val="none"/>
          <w:lang w:val="en-US" w:eastAsia="zh-CN"/>
          <w14:textFill>
            <w14:solidFill>
              <w14:schemeClr w14:val="tx1"/>
            </w14:solidFill>
          </w14:textFill>
        </w:rPr>
        <w:t>1163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号，经营范围：许可项目：房地产开发经</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营等</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。持有武汉市住房和城市更新局颁发的《房地产开发企业资质证书》，编号：武房开〔</w:t>
      </w:r>
      <w:r>
        <w:rPr>
          <w:rFonts w:hint="eastAsia" w:ascii="宋体" w:hAnsi="宋体" w:eastAsia="宋体" w:cs="宋体"/>
          <w:color w:val="000000" w:themeColor="text1"/>
          <w:sz w:val="32"/>
          <w:szCs w:val="32"/>
          <w:highlight w:val="none"/>
          <w:lang w:val="en-US" w:eastAsia="zh-CN"/>
          <w14:textFill>
            <w14:solidFill>
              <w14:schemeClr w14:val="tx1"/>
            </w14:solidFill>
          </w14:textFill>
        </w:rPr>
        <w:t>2024</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宋体" w:hAnsi="宋体" w:eastAsia="宋体" w:cs="宋体"/>
          <w:color w:val="000000" w:themeColor="text1"/>
          <w:sz w:val="32"/>
          <w:szCs w:val="32"/>
          <w:highlight w:val="none"/>
          <w:lang w:val="en-US" w:eastAsia="zh-CN"/>
          <w14:textFill>
            <w14:solidFill>
              <w14:schemeClr w14:val="tx1"/>
            </w14:solidFill>
          </w14:textFill>
        </w:rPr>
        <w:t>00652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号，有效期至</w:t>
      </w:r>
      <w:r>
        <w:rPr>
          <w:rFonts w:hint="eastAsia" w:ascii="宋体" w:hAnsi="宋体" w:eastAsia="宋体" w:cs="宋体"/>
          <w:color w:val="000000" w:themeColor="text1"/>
          <w:sz w:val="32"/>
          <w:szCs w:val="32"/>
          <w:highlight w:val="none"/>
          <w:lang w:val="en-US" w:eastAsia="zh-CN"/>
          <w14:textFill>
            <w14:solidFill>
              <w14:schemeClr w14:val="tx1"/>
            </w14:solidFill>
          </w14:textFill>
        </w:rPr>
        <w:t>2027</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宋体" w:hAnsi="宋体" w:eastAsia="宋体" w:cs="宋体"/>
          <w:color w:val="000000" w:themeColor="text1"/>
          <w:sz w:val="32"/>
          <w:szCs w:val="32"/>
          <w:highlight w:val="none"/>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月</w:t>
      </w:r>
      <w:r>
        <w:rPr>
          <w:rFonts w:hint="eastAsia" w:ascii="宋体" w:hAnsi="宋体" w:eastAsia="宋体" w:cs="宋体"/>
          <w:color w:val="000000" w:themeColor="text1"/>
          <w:sz w:val="32"/>
          <w:szCs w:val="32"/>
          <w:highlight w:val="none"/>
          <w:lang w:val="en-US" w:eastAsia="zh-CN"/>
          <w14:textFill>
            <w14:solidFill>
              <w14:schemeClr w14:val="tx1"/>
            </w14:solidFill>
          </w14:textFill>
        </w:rPr>
        <w:t>13</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日。</w:t>
      </w:r>
    </w:p>
    <w:p w14:paraId="4F64F9CC">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26" w:name="_Toc18871"/>
      <w:r>
        <w:rPr>
          <w:rFonts w:hint="eastAsia" w:ascii="楷体_GB2312" w:hAnsi="楷体_GB2312" w:eastAsia="楷体_GB2312" w:cs="楷体_GB2312"/>
          <w:b/>
          <w:bCs/>
          <w:sz w:val="32"/>
          <w:szCs w:val="32"/>
          <w:lang w:val="en-US" w:eastAsia="zh-CN"/>
        </w:rPr>
        <w:t>（二）事故项目及相关合同情况</w:t>
      </w:r>
      <w:bookmarkEnd w:id="26"/>
    </w:p>
    <w:p w14:paraId="247104A4">
      <w:pPr>
        <w:pStyle w:val="17"/>
        <w:keepNext w:val="0"/>
        <w:keepLines w:val="0"/>
        <w:pageBreakBefore w:val="0"/>
        <w:widowControl w:val="0"/>
        <w:kinsoku/>
        <w:wordWrap/>
        <w:overflowPunct/>
        <w:autoSpaceDE/>
        <w:autoSpaceDN/>
        <w:bidi w:val="0"/>
        <w:spacing w:line="560" w:lineRule="exact"/>
        <w:textAlignment w:val="auto"/>
        <w:rPr>
          <w:rFonts w:hint="default"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pPr>
      <w:bookmarkStart w:id="27" w:name="_Toc1472"/>
      <w:bookmarkStart w:id="28" w:name="_Toc16286"/>
      <w:r>
        <w:rPr>
          <w:rFonts w:hint="eastAsia" w:ascii="宋体" w:hAnsi="宋体" w:eastAsia="宋体" w:cs="宋体"/>
          <w:b/>
          <w:bCs/>
          <w:color w:val="000000" w:themeColor="text1"/>
          <w:kern w:val="2"/>
          <w:sz w:val="32"/>
          <w:szCs w:val="32"/>
          <w:u w:val="none"/>
          <w:lang w:val="en-US" w:eastAsia="zh-CN" w:bidi="ar-SA"/>
          <w14:textFill>
            <w14:solidFill>
              <w14:schemeClr w14:val="tx1"/>
            </w14:solidFill>
          </w14:textFill>
        </w:rPr>
        <w:t>1</w:t>
      </w:r>
      <w:r>
        <w:rPr>
          <w:rFonts w:hint="eastAsia" w:ascii="Times New Roman" w:hAnsi="Times New Roman" w:eastAsia="仿宋_GB2312" w:cs="Times New Roman"/>
          <w:b/>
          <w:bCs/>
          <w:color w:val="000000" w:themeColor="text1"/>
          <w:kern w:val="2"/>
          <w:sz w:val="32"/>
          <w:szCs w:val="32"/>
          <w:u w:val="none"/>
          <w:lang w:val="en-US" w:eastAsia="zh-CN" w:bidi="ar-SA"/>
          <w14:textFill>
            <w14:solidFill>
              <w14:schemeClr w14:val="tx1"/>
            </w14:solidFill>
          </w14:textFill>
        </w:rPr>
        <w:t>.项目基本情况。</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青山</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52</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53</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街坊</w:t>
      </w:r>
      <w:r>
        <w:rPr>
          <w:rFonts w:hint="eastAsia" w:ascii="Times New Roman" w:hAnsi="Times New Roman" w:eastAsia="宋体" w:cs="Times New Roman"/>
          <w:color w:val="000000" w:themeColor="text1"/>
          <w:kern w:val="2"/>
          <w:sz w:val="32"/>
          <w:szCs w:val="32"/>
          <w:u w:val="none"/>
          <w:lang w:val="en-US" w:eastAsia="zh-CN" w:bidi="ar-SA"/>
          <w14:textFill>
            <w14:solidFill>
              <w14:schemeClr w14:val="tx1"/>
            </w14:solidFill>
          </w14:textFill>
        </w:rPr>
        <w:t>P</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2023</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055</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号地块项目，建设地址为武汉市青山区和平大道与建设一路、建设二路交汇处，用地面积</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56878</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88</w:t>
      </w:r>
      <w:r>
        <w:rPr>
          <w:rFonts w:hint="eastAsia" w:ascii="Times New Roman" w:hAnsi="Times New Roman" w:eastAsia="宋体" w:cs="Times New Roman"/>
          <w:color w:val="000000" w:themeColor="text1"/>
          <w:kern w:val="2"/>
          <w:sz w:val="32"/>
          <w:szCs w:val="32"/>
          <w:u w:val="none"/>
          <w:lang w:val="en-US" w:eastAsia="zh-CN" w:bidi="ar-SA"/>
          <w14:textFill>
            <w14:solidFill>
              <w14:schemeClr w14:val="tx1"/>
            </w14:solidFill>
          </w14:textFill>
        </w:rPr>
        <w:t>m</w:t>
      </w:r>
      <w:r>
        <w:rPr>
          <w:rFonts w:hint="eastAsia" w:ascii="宋体" w:hAnsi="宋体" w:eastAsia="宋体" w:cs="宋体"/>
          <w:color w:val="000000" w:themeColor="text1"/>
          <w:kern w:val="2"/>
          <w:sz w:val="32"/>
          <w:szCs w:val="32"/>
          <w:u w:val="none"/>
          <w:vertAlign w:val="superscript"/>
          <w:lang w:val="en-US" w:eastAsia="zh-CN" w:bidi="ar-SA"/>
          <w14:textFill>
            <w14:solidFill>
              <w14:schemeClr w14:val="tx1"/>
            </w14:solidFill>
          </w14:textFill>
        </w:rPr>
        <w:t>2</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，计容建筑住宅面积约</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185200</w:t>
      </w:r>
      <w:r>
        <w:rPr>
          <w:rFonts w:hint="eastAsia" w:ascii="Times New Roman" w:hAnsi="Times New Roman" w:eastAsia="宋体" w:cs="Times New Roman"/>
          <w:color w:val="000000" w:themeColor="text1"/>
          <w:kern w:val="2"/>
          <w:sz w:val="32"/>
          <w:szCs w:val="32"/>
          <w:u w:val="none"/>
          <w:lang w:val="en-US" w:eastAsia="zh-CN" w:bidi="ar-SA"/>
          <w14:textFill>
            <w14:solidFill>
              <w14:schemeClr w14:val="tx1"/>
            </w14:solidFill>
          </w14:textFill>
        </w:rPr>
        <w:t>m</w:t>
      </w:r>
      <w:r>
        <w:rPr>
          <w:rFonts w:hint="eastAsia" w:ascii="宋体" w:hAnsi="宋体" w:eastAsia="宋体" w:cs="宋体"/>
          <w:color w:val="000000" w:themeColor="text1"/>
          <w:kern w:val="2"/>
          <w:sz w:val="32"/>
          <w:szCs w:val="32"/>
          <w:u w:val="none"/>
          <w:vertAlign w:val="superscript"/>
          <w:lang w:val="en-US" w:eastAsia="zh-CN" w:bidi="ar-SA"/>
          <w14:textFill>
            <w14:solidFill>
              <w14:schemeClr w14:val="tx1"/>
            </w14:solidFill>
          </w14:textFill>
        </w:rPr>
        <w:t>2</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，整体涉及</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11</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栋</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20</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33</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层住宅及配套</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1</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2</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层商业，</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1</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栋</w:t>
      </w:r>
      <w:r>
        <w:rPr>
          <w:rFonts w:hint="eastAsia" w:ascii="宋体" w:hAnsi="宋体" w:eastAsia="宋体" w:cs="宋体"/>
          <w:color w:val="000000" w:themeColor="text1"/>
          <w:kern w:val="2"/>
          <w:sz w:val="32"/>
          <w:szCs w:val="32"/>
          <w:u w:val="none"/>
          <w:lang w:val="en-US" w:eastAsia="zh-CN" w:bidi="ar-SA"/>
          <w14:textFill>
            <w14:solidFill>
              <w14:schemeClr w14:val="tx1"/>
            </w14:solidFill>
          </w14:textFill>
        </w:rPr>
        <w:t>3</w:t>
      </w:r>
      <w:r>
        <w:rPr>
          <w:rFonts w:hint="eastAsia" w:ascii="Times New Roman" w:hAnsi="Times New Roman" w:eastAsia="仿宋_GB2312" w:cs="Times New Roman"/>
          <w:color w:val="000000" w:themeColor="text1"/>
          <w:kern w:val="2"/>
          <w:sz w:val="32"/>
          <w:szCs w:val="32"/>
          <w:u w:val="none"/>
          <w:lang w:val="en-US" w:eastAsia="zh-CN" w:bidi="ar-SA"/>
          <w14:textFill>
            <w14:solidFill>
              <w14:schemeClr w14:val="tx1"/>
            </w14:solidFill>
          </w14:textFill>
        </w:rPr>
        <w:t>层幼儿园。</w:t>
      </w:r>
    </w:p>
    <w:p w14:paraId="36935227">
      <w:pPr>
        <w:keepNext w:val="0"/>
        <w:keepLines w:val="0"/>
        <w:pageBreakBefore w:val="0"/>
        <w:widowControl w:val="0"/>
        <w:kinsoku/>
        <w:wordWrap/>
        <w:overflowPunct/>
        <w:autoSpaceDE/>
        <w:autoSpaceDN/>
        <w:bidi w:val="0"/>
        <w:spacing w:line="560" w:lineRule="exact"/>
        <w:ind w:firstLine="643" w:firstLineChars="200"/>
        <w:jc w:val="both"/>
        <w:textAlignment w:val="auto"/>
        <w:rPr>
          <w:rFonts w:hint="default"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pPr>
      <w:r>
        <w:rPr>
          <w:rFonts w:hint="eastAsia" w:ascii="宋体" w:hAnsi="宋体" w:eastAsia="宋体" w:cs="宋体"/>
          <w:b/>
          <w:bCs/>
          <w:color w:val="000000" w:themeColor="text1"/>
          <w:kern w:val="2"/>
          <w:sz w:val="32"/>
          <w:szCs w:val="32"/>
          <w:u w:val="none" w:color="auto"/>
          <w:lang w:val="en-US" w:eastAsia="zh-CN" w:bidi="ar-SA"/>
          <w14:textFill>
            <w14:solidFill>
              <w14:schemeClr w14:val="tx1"/>
            </w14:solidFill>
          </w14:textFill>
        </w:rPr>
        <w:t>2</w:t>
      </w:r>
      <w:r>
        <w:rPr>
          <w:rFonts w:hint="eastAsia" w:ascii="Times New Roman" w:hAnsi="Times New Roman" w:eastAsia="仿宋_GB2312" w:cs="Times New Roman"/>
          <w:b/>
          <w:bCs/>
          <w:color w:val="000000" w:themeColor="text1"/>
          <w:kern w:val="2"/>
          <w:sz w:val="32"/>
          <w:szCs w:val="32"/>
          <w:u w:val="none" w:color="auto"/>
          <w:lang w:val="en-US" w:eastAsia="zh-CN" w:bidi="ar-SA"/>
          <w14:textFill>
            <w14:solidFill>
              <w14:schemeClr w14:val="tx1"/>
            </w14:solidFill>
          </w14:textFill>
        </w:rPr>
        <w:t>.项目承包及分包情况。</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2024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27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日，青城兰园公司（发包人）与葛洲坝第一工程公司（承包人）及其他两家公司签订《建设工程施工总承包（</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EPC</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）合同》，工程名称：青山</w:t>
      </w:r>
      <w:r>
        <w:rPr>
          <w:rFonts w:hint="eastAsia" w:ascii="宋体" w:hAnsi="宋体" w:eastAsia="宋体" w:cs="宋体"/>
          <w:color w:val="000000" w:themeColor="text1"/>
          <w:sz w:val="32"/>
          <w:szCs w:val="32"/>
          <w:lang w:val="en-US" w:eastAsia="zh-CN"/>
          <w14:textFill>
            <w14:solidFill>
              <w14:schemeClr w14:val="tx1"/>
            </w14:solidFill>
          </w14:textFill>
        </w:rPr>
        <w:t>52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53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街坊</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P</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2023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055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号地块项目。</w:t>
      </w:r>
      <w:r>
        <w:rPr>
          <w:rFonts w:hint="eastAsia" w:ascii="宋体" w:hAnsi="宋体" w:eastAsia="宋体" w:cs="宋体"/>
          <w:color w:val="000000" w:themeColor="text1"/>
          <w:sz w:val="32"/>
          <w:szCs w:val="32"/>
          <w:lang w:val="en-US" w:eastAsia="zh-CN"/>
          <w14:textFill>
            <w14:solidFill>
              <w14:schemeClr w14:val="tx1"/>
            </w14:solidFill>
          </w14:textFill>
        </w:rPr>
        <w:t>2024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日，青城兰园公司（委托人）与东泰咨询公司（监理人）签订了《武汉青山区</w:t>
      </w:r>
      <w:r>
        <w:rPr>
          <w:rFonts w:hint="eastAsia" w:ascii="宋体" w:hAnsi="宋体" w:eastAsia="宋体" w:cs="宋体"/>
          <w:color w:val="000000" w:themeColor="text1"/>
          <w:sz w:val="32"/>
          <w:szCs w:val="32"/>
          <w:lang w:val="en-US" w:eastAsia="zh-CN"/>
          <w14:textFill>
            <w14:solidFill>
              <w14:schemeClr w14:val="tx1"/>
            </w14:solidFill>
          </w14:textFill>
        </w:rPr>
        <w:t>52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53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街区地块建设项目监理合同》，工程名称：武汉青山区</w:t>
      </w:r>
      <w:r>
        <w:rPr>
          <w:rFonts w:hint="eastAsia" w:ascii="宋体" w:hAnsi="宋体" w:eastAsia="宋体" w:cs="宋体"/>
          <w:color w:val="000000" w:themeColor="text1"/>
          <w:sz w:val="32"/>
          <w:szCs w:val="32"/>
          <w:lang w:val="en-US" w:eastAsia="zh-CN"/>
          <w14:textFill>
            <w14:solidFill>
              <w14:schemeClr w14:val="tx1"/>
            </w14:solidFill>
          </w14:textFill>
        </w:rPr>
        <w:t>52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53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街区地块建设项目监理。</w:t>
      </w:r>
      <w:r>
        <w:rPr>
          <w:rFonts w:hint="eastAsia" w:ascii="宋体" w:hAnsi="宋体" w:eastAsia="宋体" w:cs="宋体"/>
          <w:color w:val="000000" w:themeColor="text1"/>
          <w:sz w:val="32"/>
          <w:szCs w:val="32"/>
          <w:lang w:val="en-US" w:eastAsia="zh-CN"/>
          <w14:textFill>
            <w14:solidFill>
              <w14:schemeClr w14:val="tx1"/>
            </w14:solidFill>
          </w14:textFill>
        </w:rPr>
        <w:t>2025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12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30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日，葛洲坝第一工程公司（承包人）与武汉亘盛茂建设工程有限公司（劳务分包人，于</w:t>
      </w:r>
      <w:r>
        <w:rPr>
          <w:rFonts w:hint="eastAsia" w:ascii="宋体" w:hAnsi="宋体" w:eastAsia="宋体" w:cs="宋体"/>
          <w:color w:val="000000" w:themeColor="text1"/>
          <w:sz w:val="32"/>
          <w:szCs w:val="32"/>
          <w:lang w:val="en-US" w:eastAsia="zh-CN"/>
          <w14:textFill>
            <w14:solidFill>
              <w14:schemeClr w14:val="tx1"/>
            </w14:solidFill>
          </w14:textFill>
        </w:rPr>
        <w:t>2026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日更名为湖北亘盛茂建设工程有限公司）签订了《武汉青山</w:t>
      </w:r>
      <w:r>
        <w:rPr>
          <w:rFonts w:hint="eastAsia" w:ascii="宋体" w:hAnsi="宋体" w:eastAsia="宋体" w:cs="宋体"/>
          <w:color w:val="000000" w:themeColor="text1"/>
          <w:sz w:val="32"/>
          <w:szCs w:val="32"/>
          <w:lang w:val="en-US" w:eastAsia="zh-CN"/>
          <w14:textFill>
            <w14:solidFill>
              <w14:schemeClr w14:val="tx1"/>
            </w14:solidFill>
          </w14:textFill>
        </w:rPr>
        <w:t>52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53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街坊三期主体工程施工劳务分包合同》，劳务分包名称为武汉青山</w:t>
      </w:r>
      <w:r>
        <w:rPr>
          <w:rFonts w:hint="eastAsia" w:ascii="宋体" w:hAnsi="宋体" w:eastAsia="宋体" w:cs="宋体"/>
          <w:color w:val="000000" w:themeColor="text1"/>
          <w:sz w:val="32"/>
          <w:szCs w:val="32"/>
          <w:lang w:val="en-US" w:eastAsia="zh-CN"/>
          <w14:textFill>
            <w14:solidFill>
              <w14:schemeClr w14:val="tx1"/>
            </w14:solidFill>
          </w14:textFill>
        </w:rPr>
        <w:t>52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53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街坊三期主体工程，分包方式为劳务分包。</w:t>
      </w:r>
    </w:p>
    <w:bookmarkEnd w:id="27"/>
    <w:bookmarkEnd w:id="28"/>
    <w:p w14:paraId="62EC0916">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29" w:name="_Toc18569"/>
      <w:r>
        <w:rPr>
          <w:rFonts w:hint="eastAsia" w:ascii="楷体_GB2312" w:hAnsi="楷体_GB2312" w:eastAsia="楷体_GB2312" w:cs="楷体_GB2312"/>
          <w:b/>
          <w:bCs/>
          <w:sz w:val="32"/>
          <w:szCs w:val="32"/>
          <w:lang w:val="en-US" w:eastAsia="zh-CN"/>
        </w:rPr>
        <w:t>（三）事故发生单位安全管理情况</w:t>
      </w:r>
      <w:bookmarkEnd w:id="29"/>
    </w:p>
    <w:p w14:paraId="3F760897">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亘盛茂公司建立了全员安全生产责任制、安全风险分级管控、隐患排查治理等安全生产规章制度以及公司岗位操作规程，对从业人员开展了安全生产教育，但对现场安全管理不到位，未发现现场从业人员违章作业情况。</w:t>
      </w:r>
    </w:p>
    <w:p w14:paraId="23D256F3">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0" w:name="_Toc2401"/>
      <w:r>
        <w:rPr>
          <w:rFonts w:hint="eastAsia" w:ascii="楷体_GB2312" w:hAnsi="楷体_GB2312" w:eastAsia="楷体_GB2312" w:cs="楷体_GB2312"/>
          <w:b/>
          <w:bCs/>
          <w:sz w:val="32"/>
          <w:szCs w:val="32"/>
          <w:lang w:val="en-US" w:eastAsia="zh-CN"/>
        </w:rPr>
        <w:t>（四）事故发生经过</w:t>
      </w:r>
      <w:bookmarkEnd w:id="30"/>
    </w:p>
    <w:p w14:paraId="6BDA9D8A">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2026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28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w:t>
      </w:r>
      <w:r>
        <w:rPr>
          <w:rFonts w:hint="eastAsia" w:ascii="宋体" w:hAnsi="宋体" w:eastAsia="宋体" w:cs="宋体"/>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亘盛茂公司木工张某乐和杨某四根据班组长聂某国的安排到项目一期</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号楼进行通风井构造柱支模作业。张某乐通过人字梯爬上距离楼栋一层地面约</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m高的通风井操作平台进行模壳安装固定，杨某四在下方切割、递送模壳以及作业所需的工具和材料。</w:t>
      </w:r>
      <w:r>
        <w:rPr>
          <w:rFonts w:hint="eastAsia" w:ascii="宋体" w:hAnsi="宋体" w:eastAsia="宋体" w:cs="宋体"/>
          <w:color w:val="000000" w:themeColor="text1"/>
          <w:sz w:val="32"/>
          <w:szCs w:val="32"/>
          <w:lang w:val="en-US" w:eastAsia="zh-CN"/>
          <w14:textFill>
            <w14:solidFill>
              <w14:schemeClr w14:val="tx1"/>
            </w14:solidFill>
          </w14:textFill>
        </w:rPr>
        <w:t>15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时</w:t>
      </w:r>
      <w:r>
        <w:rPr>
          <w:rFonts w:hint="eastAsia" w:ascii="宋体" w:hAnsi="宋体" w:eastAsia="宋体" w:cs="宋体"/>
          <w:color w:val="000000" w:themeColor="text1"/>
          <w:sz w:val="32"/>
          <w:szCs w:val="32"/>
          <w:lang w:val="en-US" w:eastAsia="zh-CN"/>
          <w14:textFill>
            <w14:solidFill>
              <w14:schemeClr w14:val="tx1"/>
            </w14:solidFill>
          </w14:textFill>
        </w:rPr>
        <w:t>50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分许，杨某四接到张某乐反映模壳已支模完毕后，返回楼栋一层空地上（因墙壁挡住，无法看到通风井），在收拾工具材料时听到响声。经呼喊张某乐未收到回应后，杨某四回到作业区域查看情况，在没有看到张某乐后前往负一层处找寻，发现张某乐躺在通风井负一层水平防护钢网（距离通风井操作平台垂直高度</w:t>
      </w:r>
      <w:r>
        <w:rPr>
          <w:rFonts w:hint="eastAsia" w:ascii="宋体" w:hAnsi="宋体" w:eastAsia="宋体" w:cs="宋体"/>
          <w:color w:val="000000" w:themeColor="text1"/>
          <w:sz w:val="32"/>
          <w:szCs w:val="32"/>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m）上，身上及脸部均有血流出。</w:t>
      </w:r>
    </w:p>
    <w:p w14:paraId="7F87B87C">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1" w:name="_Toc9498"/>
      <w:r>
        <w:rPr>
          <w:rFonts w:hint="eastAsia" w:ascii="楷体_GB2312" w:hAnsi="楷体_GB2312" w:eastAsia="楷体_GB2312" w:cs="楷体_GB2312"/>
          <w:b/>
          <w:bCs/>
          <w:sz w:val="32"/>
          <w:szCs w:val="32"/>
          <w:lang w:val="en-US" w:eastAsia="zh-CN"/>
        </w:rPr>
        <w:t>（五）事故现场情况</w:t>
      </w:r>
      <w:bookmarkEnd w:id="31"/>
    </w:p>
    <w:p w14:paraId="04A8E9BE">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经现场勘察，本次事故地点位于项目</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号楼通风井（图</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），作业过程中使用的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操作平台未设置防护设施（图</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通风井负一层设有水平防护钢网（图</w:t>
      </w:r>
      <w:r>
        <w:rPr>
          <w:rFonts w:hint="eastAsia" w:ascii="宋体" w:hAnsi="宋体" w:eastAsia="宋体" w:cs="宋体"/>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，可见死者</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右脚鞋子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通风井侧人字梯底部周围（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图</w:t>
      </w:r>
      <w:r>
        <w:rPr>
          <w:rFonts w:hint="eastAsia" w:ascii="宋体" w:hAnsi="宋体" w:eastAsia="宋体" w:cs="宋体"/>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，可见死者</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左脚鞋子）。</w:t>
      </w:r>
    </w:p>
    <w:p w14:paraId="0BA30A03">
      <w:pPr>
        <w:keepNext w:val="0"/>
        <w:keepLines w:val="0"/>
        <w:pageBreakBefore w:val="0"/>
        <w:widowControl w:val="0"/>
        <w:kinsoku/>
        <w:wordWrap/>
        <w:overflowPunct/>
        <w:autoSpaceDE/>
        <w:autoSpaceDN/>
        <w:bidi w:val="0"/>
        <w:spacing w:line="560" w:lineRule="exact"/>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51" w:name="_GoBack"/>
      <w:bookmarkEnd w:id="51"/>
      <w:r>
        <w:rPr>
          <w:rFonts w:hint="eastAsia" w:ascii="仿宋_GB2312" w:hAnsi="仿宋_GB2312" w:eastAsia="仿宋_GB2312" w:cs="仿宋_GB2312"/>
          <w:color w:val="000000" w:themeColor="text1"/>
          <w:sz w:val="32"/>
          <w:szCs w:val="32"/>
          <w:lang w:val="en-US"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81915</wp:posOffset>
            </wp:positionH>
            <wp:positionV relativeFrom="paragraph">
              <wp:posOffset>70485</wp:posOffset>
            </wp:positionV>
            <wp:extent cx="2700020" cy="3239770"/>
            <wp:effectExtent l="0" t="0" r="5080" b="17780"/>
            <wp:wrapTopAndBottom/>
            <wp:docPr id="4" name="图片 4" descr="5261a3fced2b07a9ec074d4ee1bc2c4b"/>
            <wp:cNvGraphicFramePr/>
            <a:graphic xmlns:a="http://schemas.openxmlformats.org/drawingml/2006/main">
              <a:graphicData uri="http://schemas.openxmlformats.org/drawingml/2006/picture">
                <pic:pic xmlns:pic="http://schemas.openxmlformats.org/drawingml/2006/picture">
                  <pic:nvPicPr>
                    <pic:cNvPr id="4" name="图片 4" descr="5261a3fced2b07a9ec074d4ee1bc2c4b"/>
                    <pic:cNvPicPr/>
                  </pic:nvPicPr>
                  <pic:blipFill>
                    <a:blip r:embed="rId8"/>
                    <a:srcRect l="1576" t="10899" r="7151"/>
                    <a:stretch>
                      <a:fillRect/>
                    </a:stretch>
                  </pic:blipFill>
                  <pic:spPr>
                    <a:xfrm>
                      <a:off x="0" y="0"/>
                      <a:ext cx="2700020" cy="3239770"/>
                    </a:xfrm>
                    <a:prstGeom prst="rect">
                      <a:avLst/>
                    </a:prstGeom>
                  </pic:spPr>
                </pic:pic>
              </a:graphicData>
            </a:graphic>
          </wp:anchor>
        </w:drawing>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3030220</wp:posOffset>
            </wp:positionH>
            <wp:positionV relativeFrom="paragraph">
              <wp:posOffset>64135</wp:posOffset>
            </wp:positionV>
            <wp:extent cx="2700020" cy="3239770"/>
            <wp:effectExtent l="0" t="0" r="5080" b="17780"/>
            <wp:wrapTopAndBottom/>
            <wp:docPr id="36" name="图片 36" descr="6712577725f6aa62f154c18d5364235f"/>
            <wp:cNvGraphicFramePr/>
            <a:graphic xmlns:a="http://schemas.openxmlformats.org/drawingml/2006/main">
              <a:graphicData uri="http://schemas.openxmlformats.org/drawingml/2006/picture">
                <pic:pic xmlns:pic="http://schemas.openxmlformats.org/drawingml/2006/picture">
                  <pic:nvPicPr>
                    <pic:cNvPr id="36" name="图片 36" descr="6712577725f6aa62f154c18d5364235f"/>
                    <pic:cNvPicPr/>
                  </pic:nvPicPr>
                  <pic:blipFill>
                    <a:blip r:embed="rId9"/>
                    <a:stretch>
                      <a:fillRect/>
                    </a:stretch>
                  </pic:blipFill>
                  <pic:spPr>
                    <a:xfrm>
                      <a:off x="0" y="0"/>
                      <a:ext cx="2700020" cy="3239770"/>
                    </a:xfrm>
                    <a:prstGeom prst="rect">
                      <a:avLst/>
                    </a:prstGeom>
                  </pic:spPr>
                </pic:pic>
              </a:graphicData>
            </a:graphic>
          </wp:anchor>
        </w:drawing>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（图</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通风井一层正面图）    （图</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，通风井一层操作平台）</w:t>
      </w:r>
    </w:p>
    <w:p w14:paraId="0B1DBCEE">
      <w:pPr>
        <w:keepNext w:val="0"/>
        <w:keepLines w:val="0"/>
        <w:pageBreakBefore w:val="0"/>
        <w:widowControl w:val="0"/>
        <w:kinsoku/>
        <w:wordWrap/>
        <w:overflowPunct/>
        <w:autoSpaceDE/>
        <w:autoSpaceDN/>
        <w:bidi w:val="0"/>
        <w:spacing w:line="560" w:lineRule="exact"/>
        <w:ind w:firstLine="170" w:firstLineChars="100"/>
        <w:jc w:val="both"/>
        <w:textAlignment w:val="auto"/>
        <w:rPr>
          <w:rFonts w:hint="eastAsia" w:ascii="仿宋_GB2312" w:hAnsi="仿宋_GB2312" w:eastAsia="仿宋_GB2312" w:cs="仿宋_GB2312"/>
          <w:color w:val="000000" w:themeColor="text1"/>
          <w:spacing w:val="-20"/>
          <w:sz w:val="32"/>
          <w:szCs w:val="32"/>
          <w:lang w:val="en-US" w:eastAsia="zh-CN"/>
          <w14:textFill>
            <w14:solidFill>
              <w14:schemeClr w14:val="tx1"/>
            </w14:solidFill>
          </w14:textFill>
        </w:rPr>
      </w:pPr>
      <w:r>
        <w:rPr>
          <w:spacing w:val="-20"/>
        </w:rPr>
        <w:drawing>
          <wp:anchor distT="0" distB="0" distL="114300" distR="114300" simplePos="0" relativeHeight="251662336" behindDoc="0" locked="0" layoutInCell="1" allowOverlap="1">
            <wp:simplePos x="0" y="0"/>
            <wp:positionH relativeFrom="column">
              <wp:posOffset>3083560</wp:posOffset>
            </wp:positionH>
            <wp:positionV relativeFrom="paragraph">
              <wp:posOffset>55880</wp:posOffset>
            </wp:positionV>
            <wp:extent cx="2700020" cy="3239770"/>
            <wp:effectExtent l="0" t="0" r="5080" b="17780"/>
            <wp:wrapTopAndBottom/>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0"/>
                    <a:srcRect t="7731"/>
                    <a:stretch>
                      <a:fillRect/>
                    </a:stretch>
                  </pic:blipFill>
                  <pic:spPr>
                    <a:xfrm>
                      <a:off x="0" y="0"/>
                      <a:ext cx="2700020" cy="3239770"/>
                    </a:xfrm>
                    <a:prstGeom prst="rect">
                      <a:avLst/>
                    </a:prstGeom>
                    <a:noFill/>
                    <a:ln>
                      <a:noFill/>
                    </a:ln>
                  </pic:spPr>
                </pic:pic>
              </a:graphicData>
            </a:graphic>
          </wp:anchor>
        </w:drawing>
      </w:r>
      <w:r>
        <w:rPr>
          <w:spacing w:val="-20"/>
        </w:rPr>
        <w:drawing>
          <wp:anchor distT="0" distB="0" distL="114300" distR="114300" simplePos="0" relativeHeight="251663360" behindDoc="0" locked="0" layoutInCell="1" allowOverlap="1">
            <wp:simplePos x="0" y="0"/>
            <wp:positionH relativeFrom="column">
              <wp:posOffset>8890</wp:posOffset>
            </wp:positionH>
            <wp:positionV relativeFrom="paragraph">
              <wp:posOffset>55880</wp:posOffset>
            </wp:positionV>
            <wp:extent cx="2700020" cy="3239770"/>
            <wp:effectExtent l="0" t="0" r="5080" b="17780"/>
            <wp:wrapTopAndBottom/>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1"/>
                    <a:stretch>
                      <a:fillRect/>
                    </a:stretch>
                  </pic:blipFill>
                  <pic:spPr>
                    <a:xfrm>
                      <a:off x="0" y="0"/>
                      <a:ext cx="2700020" cy="3239770"/>
                    </a:xfrm>
                    <a:prstGeom prst="rect">
                      <a:avLst/>
                    </a:prstGeom>
                    <a:noFill/>
                    <a:ln>
                      <a:noFill/>
                    </a:ln>
                  </pic:spPr>
                </pic:pic>
              </a:graphicData>
            </a:graphic>
          </wp:anchor>
        </w:drawing>
      </w:r>
      <w:r>
        <w:rPr>
          <w:rFonts w:hint="eastAsia" w:ascii="仿宋_GB2312" w:hAnsi="仿宋_GB2312" w:eastAsia="仿宋_GB2312" w:cs="仿宋_GB2312"/>
          <w:color w:val="000000" w:themeColor="text1"/>
          <w:spacing w:val="-20"/>
          <w:sz w:val="32"/>
          <w:szCs w:val="32"/>
          <w:lang w:val="en-US" w:eastAsia="zh-CN"/>
          <w14:textFill>
            <w14:solidFill>
              <w14:schemeClr w14:val="tx1"/>
            </w14:solidFill>
          </w14:textFill>
        </w:rPr>
        <w:t>（图</w:t>
      </w:r>
      <w:r>
        <w:rPr>
          <w:rFonts w:hint="eastAsia" w:ascii="宋体" w:hAnsi="宋体" w:eastAsia="宋体" w:cs="宋体"/>
          <w:color w:val="000000" w:themeColor="text1"/>
          <w:spacing w:val="-20"/>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pacing w:val="-20"/>
          <w:sz w:val="32"/>
          <w:szCs w:val="32"/>
          <w:lang w:val="en-US" w:eastAsia="zh-CN"/>
          <w14:textFill>
            <w14:solidFill>
              <w14:schemeClr w14:val="tx1"/>
            </w14:solidFill>
          </w14:textFill>
        </w:rPr>
        <w:t>，通风井负一层水平防护）   （图</w:t>
      </w:r>
      <w:r>
        <w:rPr>
          <w:rFonts w:hint="eastAsia" w:ascii="宋体" w:hAnsi="宋体" w:eastAsia="宋体" w:cs="宋体"/>
          <w:color w:val="000000" w:themeColor="text1"/>
          <w:spacing w:val="-20"/>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pacing w:val="-20"/>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pacing w:val="-20"/>
          <w:kern w:val="2"/>
          <w:sz w:val="32"/>
          <w:szCs w:val="32"/>
          <w:lang w:val="en-US" w:eastAsia="zh-CN" w:bidi="ar-SA"/>
          <w14:textFill>
            <w14:solidFill>
              <w14:schemeClr w14:val="tx1"/>
            </w14:solidFill>
          </w14:textFill>
        </w:rPr>
        <w:t>通风井侧人字梯底部周围</w:t>
      </w:r>
      <w:r>
        <w:rPr>
          <w:rFonts w:hint="eastAsia" w:ascii="仿宋_GB2312" w:hAnsi="仿宋_GB2312" w:eastAsia="仿宋_GB2312" w:cs="仿宋_GB2312"/>
          <w:color w:val="000000" w:themeColor="text1"/>
          <w:spacing w:val="-20"/>
          <w:sz w:val="32"/>
          <w:szCs w:val="32"/>
          <w:lang w:val="en-US" w:eastAsia="zh-CN"/>
          <w14:textFill>
            <w14:solidFill>
              <w14:schemeClr w14:val="tx1"/>
            </w14:solidFill>
          </w14:textFill>
        </w:rPr>
        <w:t>）</w:t>
      </w:r>
    </w:p>
    <w:p w14:paraId="7FCD038D">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2" w:name="_Toc13470"/>
      <w:r>
        <w:rPr>
          <w:rFonts w:hint="eastAsia" w:ascii="楷体_GB2312" w:hAnsi="楷体_GB2312" w:eastAsia="楷体_GB2312" w:cs="楷体_GB2312"/>
          <w:b/>
          <w:bCs/>
          <w:sz w:val="32"/>
          <w:szCs w:val="32"/>
          <w:lang w:val="en-US" w:eastAsia="zh-CN"/>
        </w:rPr>
        <w:t>（六）人员伤亡和直接经济损失情况</w:t>
      </w:r>
      <w:bookmarkEnd w:id="32"/>
    </w:p>
    <w:p w14:paraId="5E368BA8">
      <w:pPr>
        <w:keepNext w:val="0"/>
        <w:keepLines w:val="0"/>
        <w:pageBreakBefore w:val="0"/>
        <w:widowControl w:val="0"/>
        <w:kinsoku/>
        <w:wordWrap/>
        <w:overflowPunct/>
        <w:autoSpaceDE/>
        <w:autoSpaceDN/>
        <w:bidi w:val="0"/>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.人员伤亡情况。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事故造成</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人死亡：张某乐，为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亘盛茂公司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员工，岗位为木工。</w:t>
      </w:r>
    </w:p>
    <w:p w14:paraId="4F44F2C3">
      <w:pPr>
        <w:keepNext w:val="0"/>
        <w:keepLines w:val="0"/>
        <w:pageBreakBefore w:val="0"/>
        <w:widowControl w:val="0"/>
        <w:kinsoku/>
        <w:wordWrap/>
        <w:overflowPunct/>
        <w:autoSpaceDE/>
        <w:autoSpaceDN/>
        <w:bidi w:val="0"/>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.事故损失情况。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事故造成直接经济损失为</w:t>
      </w:r>
      <w:r>
        <w:rPr>
          <w:rFonts w:hint="eastAsia" w:ascii="宋体" w:hAnsi="宋体" w:eastAsia="宋体" w:cs="宋体"/>
          <w:color w:val="000000" w:themeColor="text1"/>
          <w:sz w:val="32"/>
          <w:szCs w:val="32"/>
          <w:lang w:val="en-US" w:eastAsia="zh-CN"/>
          <w14:textFill>
            <w14:solidFill>
              <w14:schemeClr w14:val="tx1"/>
            </w14:solidFill>
          </w14:textFill>
        </w:rPr>
        <w:t>155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w:t>
      </w:r>
    </w:p>
    <w:p w14:paraId="4F572DE5">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3" w:name="_Toc9655"/>
      <w:r>
        <w:rPr>
          <w:rFonts w:hint="eastAsia" w:ascii="楷体_GB2312" w:hAnsi="楷体_GB2312" w:eastAsia="楷体_GB2312" w:cs="楷体_GB2312"/>
          <w:b/>
          <w:bCs/>
          <w:sz w:val="32"/>
          <w:szCs w:val="32"/>
          <w:lang w:val="en-US" w:eastAsia="zh-CN"/>
        </w:rPr>
        <w:t>（七）其他情况</w:t>
      </w:r>
      <w:bookmarkEnd w:id="33"/>
    </w:p>
    <w:p w14:paraId="1824EF53">
      <w:pPr>
        <w:pStyle w:val="17"/>
        <w:keepNext w:val="0"/>
        <w:keepLines w:val="0"/>
        <w:pageBreakBefore w:val="0"/>
        <w:widowControl w:val="0"/>
        <w:numPr>
          <w:ilvl w:val="0"/>
          <w:numId w:val="0"/>
        </w:numPr>
        <w:kinsoku/>
        <w:wordWrap/>
        <w:overflowPunct/>
        <w:autoSpaceDE/>
        <w:autoSpaceDN/>
        <w:bidi w:val="0"/>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kern w:val="2"/>
          <w:sz w:val="32"/>
          <w:szCs w:val="32"/>
          <w:u w:val="none"/>
          <w:lang w:val="en-US" w:eastAsia="zh-CN" w:bidi="ar-SA"/>
          <w14:textFill>
            <w14:solidFill>
              <w14:schemeClr w14:val="tx1"/>
            </w14:solidFill>
          </w14:textFill>
        </w:rPr>
        <w:t>1</w:t>
      </w:r>
      <w:r>
        <w:rPr>
          <w:rFonts w:hint="eastAsia" w:ascii="仿宋_GB2312" w:hAnsi="仿宋_GB2312" w:eastAsia="仿宋_GB2312" w:cs="仿宋_GB2312"/>
          <w:b/>
          <w:bCs/>
          <w:color w:val="000000" w:themeColor="text1"/>
          <w:kern w:val="2"/>
          <w:sz w:val="32"/>
          <w:szCs w:val="32"/>
          <w:u w:val="none"/>
          <w:lang w:val="en-US" w:eastAsia="zh-CN" w:bidi="ar-SA"/>
          <w14:textFill>
            <w14:solidFill>
              <w14:schemeClr w14:val="tx1"/>
            </w14:solidFill>
          </w14:textFill>
        </w:rPr>
        <w:t>.相关人员劳务情况。</w:t>
      </w:r>
      <w:r>
        <w:rPr>
          <w:rFonts w:hint="eastAsia" w:ascii="宋体" w:hAnsi="宋体" w:eastAsia="宋体" w:cs="宋体"/>
          <w:color w:val="000000" w:themeColor="text1"/>
          <w:sz w:val="32"/>
          <w:szCs w:val="32"/>
          <w:lang w:val="en-US" w:eastAsia="zh-CN"/>
          <w14:textFill>
            <w14:solidFill>
              <w14:schemeClr w14:val="tx1"/>
            </w14:solidFill>
          </w14:textFill>
        </w:rPr>
        <w:t>2026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30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日，亘盛茂公司与张某乐签订了《建筑业简易劳动合同》，工作岗位为青山</w:t>
      </w:r>
      <w:r>
        <w:rPr>
          <w:rFonts w:hint="eastAsia" w:ascii="宋体" w:hAnsi="宋体" w:eastAsia="宋体" w:cs="宋体"/>
          <w:color w:val="000000" w:themeColor="text1"/>
          <w:sz w:val="32"/>
          <w:szCs w:val="32"/>
          <w:lang w:val="en-US" w:eastAsia="zh-CN"/>
          <w14:textFill>
            <w14:solidFill>
              <w14:schemeClr w14:val="tx1"/>
            </w14:solidFill>
          </w14:textFill>
        </w:rPr>
        <w:t>52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53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街坊项目从事木工工作，工资为每月</w:t>
      </w:r>
      <w:r>
        <w:rPr>
          <w:rFonts w:hint="eastAsia" w:ascii="宋体" w:hAnsi="宋体" w:eastAsia="宋体" w:cs="宋体"/>
          <w:color w:val="000000" w:themeColor="text1"/>
          <w:sz w:val="32"/>
          <w:szCs w:val="32"/>
          <w:lang w:val="en-US" w:eastAsia="zh-CN"/>
          <w14:textFill>
            <w14:solidFill>
              <w14:schemeClr w14:val="tx1"/>
            </w14:solidFill>
          </w14:textFill>
        </w:rPr>
        <w:t>5000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元。</w:t>
      </w:r>
    </w:p>
    <w:p w14:paraId="23F92C49">
      <w:pPr>
        <w:pStyle w:val="17"/>
        <w:keepNext w:val="0"/>
        <w:keepLines w:val="0"/>
        <w:pageBreakBefore w:val="0"/>
        <w:widowControl w:val="0"/>
        <w:numPr>
          <w:ilvl w:val="0"/>
          <w:numId w:val="0"/>
        </w:numPr>
        <w:kinsoku/>
        <w:wordWrap/>
        <w:overflowPunct/>
        <w:autoSpaceDE/>
        <w:autoSpaceDN/>
        <w:bidi w:val="0"/>
        <w:spacing w:line="560" w:lineRule="exact"/>
        <w:ind w:firstLine="643"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kern w:val="2"/>
          <w:sz w:val="32"/>
          <w:szCs w:val="32"/>
          <w:u w:val="none"/>
          <w:lang w:val="en-US" w:eastAsia="zh-CN" w:bidi="ar-SA"/>
          <w14:textFill>
            <w14:solidFill>
              <w14:schemeClr w14:val="tx1"/>
            </w14:solidFill>
          </w14:textFill>
        </w:rPr>
        <w:t>2</w:t>
      </w:r>
      <w:r>
        <w:rPr>
          <w:rFonts w:hint="eastAsia" w:ascii="仿宋_GB2312" w:hAnsi="仿宋_GB2312" w:eastAsia="仿宋_GB2312" w:cs="仿宋_GB2312"/>
          <w:b/>
          <w:bCs/>
          <w:color w:val="000000" w:themeColor="text1"/>
          <w:kern w:val="2"/>
          <w:sz w:val="32"/>
          <w:szCs w:val="32"/>
          <w:u w:val="none"/>
          <w:lang w:val="en-US" w:eastAsia="zh-CN" w:bidi="ar-SA"/>
          <w14:textFill>
            <w14:solidFill>
              <w14:schemeClr w14:val="tx1"/>
            </w14:solidFill>
          </w14:textFill>
        </w:rPr>
        <w:t>.相关人员安全教育培训情况。</w:t>
      </w:r>
      <w:r>
        <w:rPr>
          <w:rFonts w:hint="eastAsia" w:ascii="宋体" w:hAnsi="宋体" w:eastAsia="宋体" w:cs="宋体"/>
          <w:color w:val="000000" w:themeColor="text1"/>
          <w:sz w:val="32"/>
          <w:szCs w:val="32"/>
          <w:lang w:val="en-US" w:eastAsia="zh-CN"/>
          <w14:textFill>
            <w14:solidFill>
              <w14:schemeClr w14:val="tx1"/>
            </w14:solidFill>
          </w14:textFill>
        </w:rPr>
        <w:t>2026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22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日至</w:t>
      </w:r>
      <w:r>
        <w:rPr>
          <w:rFonts w:hint="eastAsia" w:ascii="宋体" w:hAnsi="宋体" w:eastAsia="宋体" w:cs="宋体"/>
          <w:color w:val="000000" w:themeColor="text1"/>
          <w:sz w:val="32"/>
          <w:szCs w:val="32"/>
          <w:lang w:val="en-US" w:eastAsia="zh-CN"/>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30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日，张某乐分别接受了公司级、项目级和班组级“三级”安全教育培训并通过考核。事故当天，张某乐参加了班前安全喊话。</w:t>
      </w:r>
    </w:p>
    <w:p w14:paraId="77D70A4C">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.项目</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号楼一层地面至天花板垂直高度为</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6</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m</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，通风井水平尺寸为</w:t>
      </w:r>
      <w:r>
        <w:rPr>
          <w:rFonts w:hint="eastAsia" w:ascii="宋体" w:hAnsi="宋体" w:eastAsia="宋体" w:cs="宋体"/>
          <w:color w:val="000000" w:themeColor="text1"/>
          <w:sz w:val="32"/>
          <w:szCs w:val="32"/>
          <w:lang w:val="en-US" w:eastAsia="zh-CN"/>
          <w14:textFill>
            <w14:solidFill>
              <w14:schemeClr w14:val="tx1"/>
            </w14:solidFill>
          </w14:textFill>
        </w:rPr>
        <w:t>2100</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mm</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2300</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mm</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，垂直方向设置有水平横梁（距一层地面</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3</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m</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高）。操作平台架设在通风井水平横梁上方，尺寸为</w:t>
      </w:r>
      <w:r>
        <w:rPr>
          <w:rFonts w:hint="eastAsia" w:ascii="宋体" w:hAnsi="宋体" w:eastAsia="宋体" w:cs="宋体"/>
          <w:color w:val="000000" w:themeColor="text1"/>
          <w:sz w:val="32"/>
          <w:szCs w:val="32"/>
          <w:lang w:val="en-US" w:eastAsia="zh-CN"/>
          <w14:textFill>
            <w14:solidFill>
              <w14:schemeClr w14:val="tx1"/>
            </w14:solidFill>
          </w14:textFill>
        </w:rPr>
        <w:t>2100</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mm</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700</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mm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由</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3</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根铁管和</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块木板构成，稳定性不足</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0"/>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。操作平台搭设后仍存在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短边边长为</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16</w:t>
      </w:r>
      <w:r>
        <w:rPr>
          <w:rFonts w:hint="eastAsia" w:ascii="宋体" w:hAnsi="宋体" w:eastAsia="宋体" w:cs="宋体"/>
          <w:color w:val="000000" w:themeColor="text1"/>
          <w:sz w:val="32"/>
          <w:szCs w:val="32"/>
          <w:lang w:val="en-US" w:eastAsia="zh-CN"/>
          <w14:textFill>
            <w14:solidFill>
              <w14:schemeClr w14:val="tx1"/>
            </w14:solidFill>
          </w14:textFill>
        </w:rPr>
        <w:t>00</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mm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的非竖向洞口，操作平台未设置防护栏杆，洞口未采用安全平网封闭</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p>
    <w:p w14:paraId="4AC5560F">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.事故通风井一层洞口尺寸为</w:t>
      </w:r>
      <w:r>
        <w:rPr>
          <w:rFonts w:hint="eastAsia" w:ascii="宋体" w:hAnsi="宋体" w:eastAsia="宋体" w:cs="宋体"/>
          <w:color w:val="000000" w:themeColor="text1"/>
          <w:sz w:val="32"/>
          <w:szCs w:val="32"/>
          <w:lang w:val="en-US" w:eastAsia="zh-CN"/>
          <w14:textFill>
            <w14:solidFill>
              <w14:schemeClr w14:val="tx1"/>
            </w14:solidFill>
          </w14:textFill>
        </w:rPr>
        <w:t>2100</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mm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1350</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mm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，水平防护被拆，导致操作平台垂直高度距离基准面</w:t>
      </w:r>
      <w:r>
        <w:rPr>
          <w:rFonts w:hint="eastAsia" w:ascii="宋体" w:hAnsi="宋体" w:eastAsia="宋体" w:cs="宋体"/>
          <w:color w:val="000000" w:themeColor="text1"/>
          <w:sz w:val="32"/>
          <w:szCs w:val="32"/>
          <w:lang w:val="en-US" w:eastAsia="zh-CN"/>
          <w14:textFill>
            <w14:solidFill>
              <w14:schemeClr w14:val="tx1"/>
            </w14:solidFill>
          </w14:textFill>
        </w:rPr>
        <w:t>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7</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，属于高处作业。按照项目要求，涉及高处作业的施工需要向施工单位报备并开具危险作业申请单，经批准后方可作业。亘盛茂公司未向葛洲坝第一工程公司报备</w:t>
      </w:r>
      <w:r>
        <w:rPr>
          <w:rFonts w:hint="eastAsia" w:ascii="宋体" w:hAnsi="宋体" w:eastAsia="宋体" w:cs="宋体"/>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28</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日事故通风井构造柱支模施工作业计划。</w:t>
      </w:r>
    </w:p>
    <w:p w14:paraId="6F9CC779">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34" w:name="_Toc23661"/>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5</w:t>
      </w:r>
      <w:r>
        <w:rPr>
          <w:rFonts w:hint="eastAsia" w:ascii="黑体" w:hAnsi="黑体" w:eastAsia="黑体" w:cs="黑体"/>
          <w:sz w:val="32"/>
          <w:szCs w:val="32"/>
          <w:lang w:val="en-US" w:eastAsia="zh-CN"/>
        </w:rPr>
        <w:t>.</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经事故现场勘察，发现死者右脚鞋子位于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通风井负一层水平防护上</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，左脚鞋子位于通风井侧人字梯底部</w:t>
      </w:r>
      <w:r>
        <w:rPr>
          <w:rFonts w:hint="eastAsia" w:ascii="宋体" w:hAnsi="宋体" w:eastAsia="宋体" w:cs="宋体"/>
          <w:color w:val="000000" w:themeColor="text1"/>
          <w:kern w:val="2"/>
          <w:sz w:val="32"/>
          <w:szCs w:val="32"/>
          <w:lang w:val="en-US" w:eastAsia="zh-CN" w:bidi="ar-SA"/>
          <w14:textFill>
            <w14:solidFill>
              <w14:schemeClr w14:val="tx1"/>
            </w14:solidFill>
          </w14:textFill>
        </w:rPr>
        <w:t>20</w:t>
      </w:r>
      <w:r>
        <w:rPr>
          <w:rFonts w:hint="eastAsia" w:ascii="Times New Roman" w:hAnsi="Times New Roman" w:eastAsia="宋体" w:cs="Times New Roman"/>
          <w:color w:val="000000" w:themeColor="text1"/>
          <w:kern w:val="2"/>
          <w:sz w:val="32"/>
          <w:szCs w:val="32"/>
          <w:lang w:val="en-US" w:eastAsia="zh-CN" w:bidi="ar-SA"/>
          <w14:textFill>
            <w14:solidFill>
              <w14:schemeClr w14:val="tx1"/>
            </w14:solidFill>
          </w14:textFill>
        </w:rPr>
        <w:t>cm</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距离处。因现场无监控视频且无事故直接目击人员，综合现场勘察及笔录情况，认定死者</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作业时将安全带系挂在构造柱的钢筋上，随着施工进度不断上移安全带系挂点至构造柱垂直钢筋最上方处（图</w:t>
      </w:r>
      <w:r>
        <w:rPr>
          <w:rFonts w:hint="eastAsia" w:ascii="宋体" w:hAnsi="宋体" w:eastAsia="宋体" w:cs="宋体"/>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，距离操作平台垂直距离为</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7</w:t>
      </w:r>
      <w:r>
        <w:rPr>
          <w:rFonts w:hint="eastAsia" w:ascii="Times New Roman" w:hAnsi="Times New Roman" w:eastAsia="宋体" w:cs="Times New Roman"/>
          <w:color w:val="000000" w:themeColor="text1"/>
          <w:sz w:val="32"/>
          <w:szCs w:val="32"/>
          <w:lang w:val="en-US" w:eastAsia="zh-CN"/>
          <w14:textFill>
            <w14:solidFill>
              <w14:schemeClr w14:val="tx1"/>
            </w14:solidFill>
          </w14:textFill>
        </w:rPr>
        <w:t>m</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）；在完成通风井构造柱支模作业后，死者踩踏不能承重的模板紧固卡具，解开安全带系挂点后，踩踏的模板紧固卡具出行变形下弯（图</w:t>
      </w:r>
      <w:r>
        <w:rPr>
          <w:rFonts w:hint="eastAsia" w:ascii="宋体" w:hAnsi="宋体" w:eastAsia="宋体" w:cs="宋体"/>
          <w:color w:val="000000" w:themeColor="text1"/>
          <w:sz w:val="32"/>
          <w:szCs w:val="32"/>
          <w:lang w:val="en-US" w:eastAsia="zh-CN"/>
          <w14:textFill>
            <w14:solidFill>
              <w14:schemeClr w14:val="tx1"/>
            </w14:solidFill>
          </w14:textFill>
        </w:rPr>
        <w:t>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），导致死者其坠落至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通风井负一层而</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受伤</w:t>
      </w: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bookmarkEnd w:id="34"/>
    </w:p>
    <w:p w14:paraId="1C2E5107">
      <w:pPr>
        <w:rPr>
          <w:rFonts w:hint="eastAsia"/>
          <w:lang w:val="en-US" w:eastAsia="zh-CN"/>
        </w:rPr>
      </w:pPr>
      <w:r>
        <w:drawing>
          <wp:anchor distT="0" distB="0" distL="114300" distR="114300" simplePos="0" relativeHeight="251665408" behindDoc="0" locked="0" layoutInCell="1" allowOverlap="1">
            <wp:simplePos x="0" y="0"/>
            <wp:positionH relativeFrom="column">
              <wp:posOffset>2882265</wp:posOffset>
            </wp:positionH>
            <wp:positionV relativeFrom="paragraph">
              <wp:posOffset>85090</wp:posOffset>
            </wp:positionV>
            <wp:extent cx="2700020" cy="3239770"/>
            <wp:effectExtent l="0" t="0" r="5080" b="17780"/>
            <wp:wrapTopAndBottom/>
            <wp:docPr id="5" name="图片 2"/>
            <wp:cNvGraphicFramePr/>
            <a:graphic xmlns:a="http://schemas.openxmlformats.org/drawingml/2006/main">
              <a:graphicData uri="http://schemas.openxmlformats.org/drawingml/2006/picture">
                <pic:pic xmlns:pic="http://schemas.openxmlformats.org/drawingml/2006/picture">
                  <pic:nvPicPr>
                    <pic:cNvPr id="5" name="图片 2"/>
                    <pic:cNvPicPr/>
                  </pic:nvPicPr>
                  <pic:blipFill>
                    <a:blip r:embed="rId12"/>
                    <a:stretch>
                      <a:fillRect/>
                    </a:stretch>
                  </pic:blipFill>
                  <pic:spPr>
                    <a:xfrm>
                      <a:off x="0" y="0"/>
                      <a:ext cx="2700020" cy="3239770"/>
                    </a:xfrm>
                    <a:prstGeom prst="rect">
                      <a:avLst/>
                    </a:prstGeom>
                    <a:noFill/>
                    <a:ln>
                      <a:noFill/>
                    </a:ln>
                  </pic:spPr>
                </pic:pic>
              </a:graphicData>
            </a:graphic>
          </wp:anchor>
        </w:drawing>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（图</w:t>
      </w:r>
      <w:r>
        <w:rPr>
          <w:rFonts w:hint="eastAsia" w:ascii="宋体" w:hAnsi="宋体" w:eastAsia="宋体" w:cs="宋体"/>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，死者安全带系挂点）    （图</w:t>
      </w:r>
      <w:r>
        <w:rPr>
          <w:rFonts w:hint="eastAsia" w:ascii="宋体" w:hAnsi="宋体" w:eastAsia="宋体" w:cs="宋体"/>
          <w:color w:val="000000" w:themeColor="text1"/>
          <w:sz w:val="32"/>
          <w:szCs w:val="32"/>
          <w:lang w:val="en-US" w:eastAsia="zh-CN"/>
          <w14:textFill>
            <w14:solidFill>
              <w14:schemeClr w14:val="tx1"/>
            </w14:solidFill>
          </w14:textFill>
        </w:rPr>
        <w:t>6</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，通风井侧边柱模板）</w:t>
      </w:r>
      <w:r>
        <w:drawing>
          <wp:anchor distT="0" distB="0" distL="114300" distR="114300" simplePos="0" relativeHeight="251664384" behindDoc="0" locked="0" layoutInCell="1" allowOverlap="1">
            <wp:simplePos x="0" y="0"/>
            <wp:positionH relativeFrom="column">
              <wp:posOffset>-1905</wp:posOffset>
            </wp:positionH>
            <wp:positionV relativeFrom="paragraph">
              <wp:posOffset>71120</wp:posOffset>
            </wp:positionV>
            <wp:extent cx="2520315" cy="3239770"/>
            <wp:effectExtent l="0" t="0" r="13335" b="17780"/>
            <wp:wrapTopAndBottom/>
            <wp:docPr id="37" name="图片 1"/>
            <wp:cNvGraphicFramePr/>
            <a:graphic xmlns:a="http://schemas.openxmlformats.org/drawingml/2006/main">
              <a:graphicData uri="http://schemas.openxmlformats.org/drawingml/2006/picture">
                <pic:pic xmlns:pic="http://schemas.openxmlformats.org/drawingml/2006/picture">
                  <pic:nvPicPr>
                    <pic:cNvPr id="37" name="图片 1"/>
                    <pic:cNvPicPr/>
                  </pic:nvPicPr>
                  <pic:blipFill>
                    <a:blip r:embed="rId13"/>
                    <a:stretch>
                      <a:fillRect/>
                    </a:stretch>
                  </pic:blipFill>
                  <pic:spPr>
                    <a:xfrm>
                      <a:off x="0" y="0"/>
                      <a:ext cx="2520315" cy="3239770"/>
                    </a:xfrm>
                    <a:prstGeom prst="rect">
                      <a:avLst/>
                    </a:prstGeom>
                    <a:noFill/>
                    <a:ln>
                      <a:noFill/>
                    </a:ln>
                  </pic:spPr>
                </pic:pic>
              </a:graphicData>
            </a:graphic>
          </wp:anchor>
        </w:drawing>
      </w:r>
    </w:p>
    <w:p w14:paraId="10ACCEA2">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35" w:name="_Toc8060"/>
      <w:r>
        <w:rPr>
          <w:rFonts w:hint="eastAsia" w:ascii="黑体" w:hAnsi="黑体" w:eastAsia="黑体" w:cs="黑体"/>
          <w:sz w:val="32"/>
          <w:szCs w:val="32"/>
          <w:lang w:val="en-US" w:eastAsia="zh-CN"/>
        </w:rPr>
        <w:t>二、事故应急处置及评估情况</w:t>
      </w:r>
      <w:bookmarkEnd w:id="35"/>
    </w:p>
    <w:p w14:paraId="733675B8">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6" w:name="_Toc20778"/>
      <w:r>
        <w:rPr>
          <w:rFonts w:hint="eastAsia" w:ascii="楷体_GB2312" w:hAnsi="楷体_GB2312" w:eastAsia="楷体_GB2312" w:cs="楷体_GB2312"/>
          <w:b/>
          <w:bCs/>
          <w:sz w:val="32"/>
          <w:szCs w:val="32"/>
          <w:lang w:val="en-US" w:eastAsia="zh-CN"/>
        </w:rPr>
        <w:t>（一）事故信息接报及响应情况</w:t>
      </w:r>
      <w:bookmarkEnd w:id="36"/>
    </w:p>
    <w:p w14:paraId="118021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事故发生后，现场人员立即拨打</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120</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急救电话，并向项目部负责人汇报，之后施工单位、监理单位等均陆续赶到现场。</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16</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时</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55</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分，区公安分局向区委区政府总值班室报告事故有关情况并赶赴现场处置。</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17</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时</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01</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分，区应急管理局接区委区政府总值班室通知后赶赴事故项目现场。区资建局、红卫路街道办事处接报后均立即组织人员赶赴事故项目现场。</w:t>
      </w:r>
    </w:p>
    <w:p w14:paraId="72E57FA7">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37" w:name="_Toc31292"/>
      <w:r>
        <w:rPr>
          <w:rFonts w:hint="eastAsia" w:ascii="楷体_GB2312" w:hAnsi="楷体_GB2312" w:eastAsia="楷体_GB2312" w:cs="楷体_GB2312"/>
          <w:b/>
          <w:bCs/>
          <w:sz w:val="32"/>
          <w:szCs w:val="32"/>
          <w:lang w:val="en-US" w:eastAsia="zh-CN"/>
        </w:rPr>
        <w:t>（二）事故现场应急处置情况</w:t>
      </w:r>
      <w:bookmarkEnd w:id="37"/>
    </w:p>
    <w:p w14:paraId="5ED47D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pPr>
      <w:bookmarkStart w:id="38" w:name="_Toc9987"/>
      <w:bookmarkStart w:id="39" w:name="_Toc8376"/>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15</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时</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56</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分，杨某四立即向亘盛茂公司安全员孙某报告事故情况。</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16</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时</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00</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分，孙某到达现场后拨打</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120</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急救电话并按医护人员指示观察张某乐情况。</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16</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时</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05</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分，</w:t>
      </w:r>
      <w:r>
        <w:rPr>
          <w:rFonts w:hint="eastAsia" w:ascii="宋体" w:hAnsi="宋体" w:eastAsia="宋体" w:cs="宋体"/>
          <w:color w:val="000000" w:themeColor="text1"/>
          <w:kern w:val="2"/>
          <w:sz w:val="32"/>
          <w:szCs w:val="32"/>
          <w:u w:val="none" w:color="auto"/>
          <w:lang w:val="en-US" w:eastAsia="zh-CN" w:bidi="ar-SA"/>
          <w14:textFill>
            <w14:solidFill>
              <w14:schemeClr w14:val="tx1"/>
            </w14:solidFill>
          </w14:textFill>
        </w:rPr>
        <w:t>120</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急救人员抵达现场将张某乐送往武汉市第九医院抢救。</w:t>
      </w:r>
    </w:p>
    <w:bookmarkEnd w:id="38"/>
    <w:bookmarkEnd w:id="39"/>
    <w:p w14:paraId="51407357">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40" w:name="_Toc30881"/>
      <w:r>
        <w:rPr>
          <w:rFonts w:hint="eastAsia" w:ascii="楷体_GB2312" w:hAnsi="楷体_GB2312" w:eastAsia="楷体_GB2312" w:cs="楷体_GB2312"/>
          <w:b/>
          <w:bCs/>
          <w:sz w:val="32"/>
          <w:szCs w:val="32"/>
          <w:lang w:val="en-US" w:eastAsia="zh-CN"/>
        </w:rPr>
        <w:t>（三）事故应急处置评估</w:t>
      </w:r>
      <w:bookmarkEnd w:id="40"/>
    </w:p>
    <w:p w14:paraId="09389A4D">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经事故调查组对事故应急处置复盘评估认为，事故发生后</w:t>
      </w:r>
      <w:r>
        <w:rPr>
          <w:rFonts w:hint="eastAsia" w:ascii="宋体" w:hAnsi="宋体" w:eastAsia="宋体" w:cs="宋体"/>
          <w:color w:val="000000" w:themeColor="text1"/>
          <w:kern w:val="2"/>
          <w:sz w:val="32"/>
          <w:szCs w:val="32"/>
          <w:highlight w:val="none"/>
          <w:u w:val="none" w:color="auto"/>
          <w:lang w:val="en-US" w:eastAsia="zh-CN" w:bidi="ar-SA"/>
          <w14:textFill>
            <w14:solidFill>
              <w14:schemeClr w14:val="tx1"/>
            </w14:solidFill>
          </w14:textFill>
        </w:rPr>
        <w:t>120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急救中心、区公安分局、区应急管理局、区资建局、红卫路街道办事处等单位接报后，迅速组织人员赶赴现场处置，响应及时，分工明确，措施得当，处置稳妥，对相关信息报送及时准确，善后工作开展有序。</w:t>
      </w:r>
    </w:p>
    <w:p w14:paraId="5B2B1D4E">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default" w:ascii="黑体" w:hAnsi="黑体" w:eastAsia="黑体" w:cs="黑体"/>
          <w:sz w:val="32"/>
          <w:szCs w:val="32"/>
          <w:lang w:val="en-US" w:eastAsia="zh-CN"/>
        </w:rPr>
      </w:pPr>
      <w:bookmarkStart w:id="41" w:name="_Toc13521"/>
      <w:r>
        <w:rPr>
          <w:rFonts w:hint="eastAsia" w:ascii="黑体" w:hAnsi="黑体" w:eastAsia="黑体" w:cs="黑体"/>
          <w:sz w:val="32"/>
          <w:szCs w:val="32"/>
          <w:lang w:val="en-US" w:eastAsia="zh-CN"/>
        </w:rPr>
        <w:t>三、事故原因分析</w:t>
      </w:r>
      <w:bookmarkEnd w:id="41"/>
    </w:p>
    <w:p w14:paraId="1291CFF7">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42" w:name="_Toc11670"/>
      <w:r>
        <w:rPr>
          <w:rFonts w:hint="eastAsia" w:ascii="楷体_GB2312" w:hAnsi="楷体_GB2312" w:eastAsia="楷体_GB2312" w:cs="楷体_GB2312"/>
          <w:b/>
          <w:bCs/>
          <w:sz w:val="32"/>
          <w:szCs w:val="32"/>
          <w:lang w:val="en-US" w:eastAsia="zh-CN"/>
        </w:rPr>
        <w:t>（一）直接原因分析</w:t>
      </w:r>
      <w:bookmarkEnd w:id="42"/>
    </w:p>
    <w:p w14:paraId="5CA0E242">
      <w:pPr>
        <w:keepNext w:val="0"/>
        <w:keepLines w:val="0"/>
        <w:pageBreakBefore w:val="0"/>
        <w:widowControl w:val="0"/>
        <w:suppressAutoHyphens/>
        <w:kinsoku/>
        <w:wordWrap/>
        <w:overflowPunct/>
        <w:autoSpaceDE/>
        <w:autoSpaceDN/>
        <w:bidi w:val="0"/>
        <w:adjustRightInd w:val="0"/>
        <w:spacing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通过对事故现场进行勘察、对现场人员进行询问，认定事故的直接原因是：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张某乐进行通风井构造柱支模作业时站在未设置防护栏杆且不稳定的操作平台上作业，佩戴的安全带系挂点随着施工进度不断上升至难以解开的位置，在完成作业解开安全带系挂点后，所踩踏的不能承重的模板紧固卡具出现变形下弯，导致其坠落受伤。</w:t>
      </w:r>
    </w:p>
    <w:p w14:paraId="557E5EEE">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43" w:name="_Toc246"/>
      <w:r>
        <w:rPr>
          <w:rFonts w:hint="eastAsia" w:ascii="楷体_GB2312" w:hAnsi="楷体_GB2312" w:eastAsia="楷体_GB2312" w:cs="楷体_GB2312"/>
          <w:b/>
          <w:bCs/>
          <w:sz w:val="32"/>
          <w:szCs w:val="32"/>
          <w:lang w:val="en-US" w:eastAsia="zh-CN"/>
        </w:rPr>
        <w:t>（二）间接原因分析</w:t>
      </w:r>
      <w:bookmarkEnd w:id="43"/>
    </w:p>
    <w:p w14:paraId="31B7217A">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宋体"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亘盛茂公司在未报备的情况下组织人员进行通风井构造柱支模作业，未充分辨识洞口作业存在的安全风险并采取管控措施</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2"/>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，作业侧未设置符合要求的防护栏杆，洞口未采用安全平网封闭</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3"/>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；未能保证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张某乐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具备必要的安全生产知识</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4"/>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作业时使用稳定性不足的操作平台，完成作业后踩踏不能承重的模板紧固卡具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宋体" w:cs="仿宋_GB2312"/>
          <w:color w:val="000000" w:themeColor="text1"/>
          <w:sz w:val="32"/>
          <w:szCs w:val="32"/>
          <w:lang w:val="en-US" w:eastAsia="zh-CN"/>
          <w14:textFill>
            <w14:solidFill>
              <w14:schemeClr w14:val="tx1"/>
            </w14:solidFill>
          </w14:textFill>
        </w:rPr>
        <w:t xml:space="preserve">                                                                                                                                                     </w:t>
      </w:r>
    </w:p>
    <w:p w14:paraId="7477AB6F">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44" w:name="_Toc15547"/>
      <w:r>
        <w:rPr>
          <w:rFonts w:hint="eastAsia" w:ascii="黑体" w:hAnsi="黑体" w:eastAsia="黑体" w:cs="黑体"/>
          <w:sz w:val="32"/>
          <w:szCs w:val="32"/>
          <w:lang w:val="en-US" w:eastAsia="zh-CN"/>
        </w:rPr>
        <w:t>四、有关责任单位存在的主要问题</w:t>
      </w:r>
      <w:bookmarkEnd w:id="44"/>
    </w:p>
    <w:p w14:paraId="787B91E0">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bookmarkStart w:id="45" w:name="_Toc23281"/>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亘盛茂公司安全风险管控不到位，未充分辨识洞口作业存在的风险并采取措施；隐患排查治理不到位，未消除洞口作业侧未设置防护栏杆及洞口未采用安全平网封闭的隐患问题；安全教育培训不到位，</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从业人员存在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使用稳定性不足的操作平台及踩踏不能承重的模板紧固卡具的违规作业行为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bookmarkEnd w:id="45"/>
    </w:p>
    <w:p w14:paraId="2F5C31B4">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46" w:name="_Toc29227"/>
      <w:r>
        <w:rPr>
          <w:rFonts w:hint="eastAsia" w:ascii="黑体" w:hAnsi="黑体" w:eastAsia="黑体" w:cs="黑体"/>
          <w:sz w:val="32"/>
          <w:szCs w:val="32"/>
          <w:lang w:val="en-US" w:eastAsia="zh-CN"/>
        </w:rPr>
        <w:t>五、对有关责任人员和责任单位的处理建议</w:t>
      </w:r>
      <w:bookmarkEnd w:id="46"/>
    </w:p>
    <w:p w14:paraId="0654A834">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default" w:ascii="楷体_GB2312" w:hAnsi="楷体_GB2312" w:eastAsia="楷体_GB2312" w:cs="楷体_GB2312"/>
          <w:b/>
          <w:bCs/>
          <w:sz w:val="32"/>
          <w:szCs w:val="32"/>
          <w:lang w:val="en-US" w:eastAsia="zh-CN"/>
        </w:rPr>
      </w:pPr>
      <w:bookmarkStart w:id="47" w:name="_Toc25500"/>
      <w:r>
        <w:rPr>
          <w:rFonts w:hint="eastAsia" w:ascii="楷体_GB2312" w:hAnsi="楷体_GB2312" w:eastAsia="楷体_GB2312" w:cs="楷体_GB2312"/>
          <w:b/>
          <w:bCs/>
          <w:sz w:val="32"/>
          <w:szCs w:val="32"/>
          <w:lang w:val="en-US" w:eastAsia="zh-CN"/>
        </w:rPr>
        <w:t>（一）因在事故中死亡免予追究责任人员</w:t>
      </w:r>
      <w:bookmarkEnd w:id="47"/>
    </w:p>
    <w:p w14:paraId="09E6E053">
      <w:pPr>
        <w:keepNext w:val="0"/>
        <w:keepLines w:val="0"/>
        <w:pageBreakBefore w:val="0"/>
        <w:widowControl w:val="0"/>
        <w:suppressAutoHyphens/>
        <w:kinsoku/>
        <w:wordWrap/>
        <w:overflowPunct/>
        <w:autoSpaceDE/>
        <w:autoSpaceDN/>
        <w:bidi w:val="0"/>
        <w:adjustRightInd w:val="0"/>
        <w:spacing w:line="560" w:lineRule="exact"/>
        <w:ind w:firstLine="640" w:firstLineChars="200"/>
        <w:textAlignment w:val="auto"/>
        <w:rPr>
          <w:rFonts w:hint="eastAsia" w:ascii="楷体_GB2312" w:hAnsi="楷体_GB2312" w:eastAsia="楷体_GB2312" w:cs="楷体_GB2312"/>
          <w:b/>
          <w:bCs/>
          <w:sz w:val="32"/>
          <w:szCs w:val="32"/>
          <w:lang w:val="en-US" w:eastAsia="zh-CN"/>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张某乐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安全意识淡薄，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进行作业时使用未设置防护栏杆且不稳定的操作平台，作业完成后踩踏的模板紧固卡具变形下弯导致自身坠落受伤，</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对事故负有直接责任，因在事故中死亡，根据法律规定，免予追究责任。</w:t>
      </w:r>
    </w:p>
    <w:p w14:paraId="78019F29">
      <w:pPr>
        <w:pStyle w:val="10"/>
        <w:keepNext w:val="0"/>
        <w:keepLines w:val="0"/>
        <w:pageBreakBefore w:val="0"/>
        <w:widowControl w:val="0"/>
        <w:kinsoku/>
        <w:wordWrap/>
        <w:overflowPunct/>
        <w:autoSpaceDE/>
        <w:autoSpaceDN/>
        <w:bidi w:val="0"/>
        <w:spacing w:line="560" w:lineRule="exact"/>
        <w:ind w:left="0" w:leftChars="0" w:firstLine="643" w:firstLineChars="200"/>
        <w:jc w:val="both"/>
        <w:textAlignment w:val="auto"/>
        <w:outlineLvl w:val="1"/>
        <w:rPr>
          <w:rFonts w:hint="eastAsia" w:ascii="楷体_GB2312" w:hAnsi="楷体_GB2312" w:eastAsia="楷体_GB2312" w:cs="楷体_GB2312"/>
          <w:b/>
          <w:bCs/>
          <w:sz w:val="32"/>
          <w:szCs w:val="32"/>
          <w:lang w:val="en-US" w:eastAsia="zh-CN"/>
        </w:rPr>
      </w:pPr>
      <w:bookmarkStart w:id="48" w:name="_Toc990"/>
      <w:r>
        <w:rPr>
          <w:rFonts w:hint="eastAsia" w:ascii="楷体_GB2312" w:hAnsi="楷体_GB2312" w:eastAsia="楷体_GB2312" w:cs="楷体_GB2312"/>
          <w:b/>
          <w:bCs/>
          <w:sz w:val="32"/>
          <w:szCs w:val="32"/>
          <w:lang w:val="en-US" w:eastAsia="zh-CN"/>
        </w:rPr>
        <w:t>（二）对事故有关责任人员和责任单位的处理建议</w:t>
      </w:r>
      <w:bookmarkEnd w:id="48"/>
    </w:p>
    <w:p w14:paraId="699A768F">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.亘盛茂公司</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未充分辨识洞口作业存在的风险并采取措施，</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未有效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消除洞口作业时存在的安全隐患问题，未保证</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从业人员具备必要的安全生产知识</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，对事故负有责任。违反《安全生产法》</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第</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四十一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第一款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5"/>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宋体"/>
          <w:i w:val="0"/>
          <w:iCs w:val="0"/>
          <w:caps w:val="0"/>
          <w:color w:val="333333"/>
          <w:spacing w:val="0"/>
          <w:sz w:val="18"/>
          <w:szCs w:val="18"/>
          <w:shd w:val="clear" w:fill="FFFFFF"/>
          <w:lang w:val="en-US" w:eastAsia="zh-CN"/>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第四十二条第二款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6"/>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第二十八条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第一款</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7"/>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的规定，建议由应急管理部门依照有关法律法规给予行政处罚。</w:t>
      </w:r>
    </w:p>
    <w:p w14:paraId="519C268C">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.匡某。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女，亘盛茂公司法定代表人，未有效组织</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落实安全风险分级管控和隐患排查治理双重预防工作机制，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未及时消除施工现场违规作业的事故隐患，对事故发生负有重要管理责任。违反《安全生产法》第二十</w:t>
      </w:r>
      <w:r>
        <w:rPr>
          <w:rFonts w:hint="eastAsia" w:ascii="仿宋_GB2312" w:hAnsi="仿宋" w:eastAsia="仿宋_GB2312" w:cs="楷体"/>
          <w:color w:val="auto"/>
          <w:sz w:val="32"/>
          <w:szCs w:val="32"/>
          <w:lang w:val="en-US" w:eastAsia="zh-CN"/>
        </w:rPr>
        <w:t>一条第五项</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8"/>
      </w:r>
      <w:r>
        <w:rPr>
          <w:rStyle w:val="16"/>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的规定</w:t>
      </w:r>
      <w:r>
        <w:rPr>
          <w:rFonts w:hint="eastAsia" w:ascii="仿宋" w:hAnsi="仿宋" w:eastAsia="仿宋" w:cs="仿宋"/>
          <w:sz w:val="32"/>
          <w:szCs w:val="32"/>
          <w:lang w:val="en-US" w:eastAsia="zh-CN"/>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建议由应急管理部门依照有关法律法规给予行政处罚。</w:t>
      </w:r>
    </w:p>
    <w:p w14:paraId="53289A84">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default" w:ascii="黑体" w:hAnsi="黑体" w:eastAsia="黑体" w:cs="黑体"/>
          <w:sz w:val="32"/>
          <w:szCs w:val="32"/>
          <w:lang w:val="en-US" w:eastAsia="zh-CN"/>
        </w:rPr>
      </w:pPr>
      <w:bookmarkStart w:id="49" w:name="_Toc14213"/>
      <w:r>
        <w:rPr>
          <w:rFonts w:hint="eastAsia" w:ascii="黑体" w:hAnsi="黑体" w:eastAsia="黑体" w:cs="黑体"/>
          <w:sz w:val="32"/>
          <w:szCs w:val="32"/>
          <w:lang w:val="en-US" w:eastAsia="zh-CN"/>
        </w:rPr>
        <w:t>六、事故主要教训</w:t>
      </w:r>
      <w:bookmarkEnd w:id="49"/>
    </w:p>
    <w:p w14:paraId="2DB9A181">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本起事故的发生暴露出部分生产经营单位安全生产主体责任落实不到位，安全风险辨识不充分，现场安全防范措施缺失，隐患治理不深入，安全生产教育培训不到位。</w:t>
      </w:r>
    </w:p>
    <w:p w14:paraId="5E96C5E1">
      <w:pPr>
        <w:pStyle w:val="8"/>
        <w:keepNext w:val="0"/>
        <w:keepLines w:val="0"/>
        <w:pageBreakBefore w:val="0"/>
        <w:widowControl w:val="0"/>
        <w:kinsoku/>
        <w:wordWrap/>
        <w:overflowPunct/>
        <w:autoSpaceDE/>
        <w:autoSpaceDN/>
        <w:bidi w:val="0"/>
        <w:spacing w:line="560" w:lineRule="exact"/>
        <w:ind w:firstLine="640" w:firstLineChars="200"/>
        <w:jc w:val="both"/>
        <w:textAlignment w:val="auto"/>
        <w:outlineLvl w:val="0"/>
        <w:rPr>
          <w:rFonts w:hint="eastAsia" w:ascii="黑体" w:hAnsi="黑体" w:eastAsia="黑体" w:cs="黑体"/>
          <w:sz w:val="32"/>
          <w:szCs w:val="32"/>
          <w:lang w:val="en-US" w:eastAsia="zh-CN"/>
        </w:rPr>
      </w:pPr>
      <w:bookmarkStart w:id="50" w:name="_Toc18621"/>
      <w:r>
        <w:rPr>
          <w:rFonts w:hint="eastAsia" w:ascii="黑体" w:hAnsi="黑体" w:eastAsia="黑体" w:cs="黑体"/>
          <w:sz w:val="32"/>
          <w:szCs w:val="32"/>
          <w:lang w:val="en-US" w:eastAsia="zh-CN"/>
        </w:rPr>
        <w:t>七、事故整改和防范措施</w:t>
      </w:r>
      <w:bookmarkEnd w:id="50"/>
    </w:p>
    <w:p w14:paraId="2DA0D144">
      <w:pPr>
        <w:keepNext w:val="0"/>
        <w:keepLines w:val="0"/>
        <w:pageBreakBefore w:val="0"/>
        <w:widowControl w:val="0"/>
        <w:kinsoku/>
        <w:wordWrap/>
        <w:overflowPunct/>
        <w:autoSpaceDE/>
        <w:autoSpaceDN/>
        <w:bidi w:val="0"/>
        <w:spacing w:line="560" w:lineRule="exact"/>
        <w:ind w:firstLine="640" w:firstLineChars="200"/>
        <w:jc w:val="both"/>
        <w:textAlignment w:val="auto"/>
        <w:rPr>
          <w:rFonts w:ascii="微软雅黑" w:hAnsi="微软雅黑" w:eastAsia="微软雅黑" w:cs="微软雅黑"/>
          <w:i w:val="0"/>
          <w:iCs w:val="0"/>
          <w:caps w:val="0"/>
          <w:color w:val="333333"/>
          <w:spacing w:val="0"/>
          <w:sz w:val="24"/>
          <w:szCs w:val="24"/>
          <w:shd w:val="clear" w:fill="FFFFFF"/>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亘盛茂公司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要深刻汲取本次事故教训，认真分析事故原因，按要求报备高风险施工作业并做好作业现场安全管理，强化作业风险辨识管控，落实隐患排查治理，加大安全教育培训力度，及时制止违规作业行为。</w:t>
      </w:r>
    </w:p>
    <w:p w14:paraId="013BFC49">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葛洲坝第一工程公司、东泰咨询公司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和</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青城兰园公司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要深刻汲取本次事故教训，强化项目施工过程安全管理及安全监理</w:t>
      </w: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，督促分包单位落实风险辨识、隐患排查治理和安全教育培训，保障生产安全。</w:t>
      </w:r>
    </w:p>
    <w:p w14:paraId="015C0E08">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区资建局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要深刻汲取事故教训，深入剖析事故原因，以案为鉴，加大对房建项目安全监管力度，督促参建单位严格落实安全生产主体责任，坚决防范安全事故发生。</w:t>
      </w:r>
    </w:p>
    <w:p w14:paraId="681EC4B6">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rPr>
        <w:sectPr>
          <w:footerReference r:id="rId5" w:type="default"/>
          <w:pgSz w:w="11906" w:h="16838"/>
          <w:pgMar w:top="2098" w:right="1304" w:bottom="1984" w:left="1587" w:header="851" w:footer="992" w:gutter="0"/>
          <w:pgNumType w:fmt="decimal" w:start="1"/>
          <w:cols w:space="0" w:num="1"/>
          <w:rtlGutter w:val="0"/>
          <w:docGrid w:type="lines" w:linePitch="312" w:charSpace="0"/>
        </w:sectPr>
      </w:pPr>
    </w:p>
    <w:p w14:paraId="13A3A8B7">
      <w:pPr>
        <w:pStyle w:val="17"/>
        <w:keepNext w:val="0"/>
        <w:keepLines w:val="0"/>
        <w:pageBreakBefore w:val="0"/>
        <w:widowControl w:val="0"/>
        <w:kinsoku/>
        <w:wordWrap w:val="0"/>
        <w:overflowPunct/>
        <w:autoSpaceDE/>
        <w:autoSpaceDN/>
        <w:bidi w:val="0"/>
        <w:spacing w:line="560" w:lineRule="exact"/>
        <w:ind w:left="0" w:leftChars="0" w:firstLine="0" w:firstLineChars="0"/>
        <w:jc w:val="both"/>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p>
    <w:sectPr>
      <w:footerReference r:id="rId6" w:type="default"/>
      <w:pgSz w:w="11906" w:h="16838"/>
      <w:pgMar w:top="2098" w:right="1304" w:bottom="1984"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93A92">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15398C">
                          <w:pPr>
                            <w:pStyle w:val="6"/>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15398C">
                    <w:pPr>
                      <w:pStyle w:val="6"/>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CE5DC0">
                          <w:pPr>
                            <w:pStyle w:val="6"/>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8CE5DC0">
                    <w:pPr>
                      <w:pStyle w:val="6"/>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1304E">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2551304E">
                    <w:pPr>
                      <w:pStyle w:val="6"/>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49329">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77F406">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7377F406">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CBFAF6">
                          <w:pPr>
                            <w:pStyle w:val="6"/>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ACBFAF6">
                    <w:pPr>
                      <w:pStyle w:val="6"/>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078EA">
                          <w:pPr>
                            <w:pStyle w:val="6"/>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EA078EA">
                    <w:pPr>
                      <w:pStyle w:val="6"/>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C4AA7">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25C4AA7">
                    <w:pPr>
                      <w:pStyle w:val="6"/>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68D51">
    <w:pPr>
      <w:pStyle w:val="6"/>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0B3C7">
                          <w:pPr>
                            <w:pStyle w:val="6"/>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ED0B3C7">
                    <w:pPr>
                      <w:pStyle w:val="6"/>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46889">
                          <w:pPr>
                            <w:pStyle w:val="6"/>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29D46889">
                    <w:pPr>
                      <w:pStyle w:val="6"/>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2754F">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3A02754F">
                    <w:pPr>
                      <w:pStyle w:val="6"/>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r>
        <w:separator/>
      </w:r>
    </w:p>
  </w:footnote>
  <w:footnote w:type="continuationSeparator" w:id="19">
    <w:p>
      <w:r>
        <w:continuationSeparator/>
      </w:r>
    </w:p>
  </w:footnote>
  <w:footnote w:id="0">
    <w:p w14:paraId="2EA90A94">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《建筑与市政施工现场安全卫生与职业健康通用规范</w:t>
      </w:r>
      <w:r>
        <w:rPr>
          <w:rFonts w:hint="eastAsia" w:ascii="宋体" w:hAnsi="宋体" w:eastAsia="宋体" w:cs="宋体"/>
          <w:i w:val="0"/>
          <w:iCs w:val="0"/>
          <w:caps w:val="0"/>
          <w:color w:val="333333"/>
          <w:spacing w:val="0"/>
          <w:sz w:val="18"/>
          <w:szCs w:val="18"/>
          <w:shd w:val="clear" w:fill="FFFFFF"/>
          <w:lang w:val="en-US" w:eastAsia="zh-CN"/>
        </w:rPr>
        <w:t>（</w:t>
      </w:r>
      <w:r>
        <w:rPr>
          <w:rFonts w:hint="default" w:ascii="Times New Roman" w:hAnsi="Times New Roman" w:eastAsia="宋体" w:cs="Times New Roman"/>
          <w:i w:val="0"/>
          <w:iCs w:val="0"/>
          <w:caps w:val="0"/>
          <w:color w:val="333333"/>
          <w:spacing w:val="0"/>
          <w:sz w:val="18"/>
          <w:szCs w:val="18"/>
          <w:shd w:val="clear" w:fill="FFFFFF"/>
          <w:lang w:val="en-US" w:eastAsia="zh-CN"/>
        </w:rPr>
        <w:t>GB</w:t>
      </w:r>
      <w:r>
        <w:rPr>
          <w:rFonts w:hint="default" w:ascii="宋体" w:hAnsi="宋体" w:eastAsia="宋体" w:cs="宋体"/>
          <w:i w:val="0"/>
          <w:iCs w:val="0"/>
          <w:caps w:val="0"/>
          <w:color w:val="333333"/>
          <w:spacing w:val="0"/>
          <w:sz w:val="18"/>
          <w:szCs w:val="18"/>
          <w:shd w:val="clear" w:fill="FFFFFF"/>
          <w:lang w:val="en-US" w:eastAsia="zh-CN"/>
        </w:rPr>
        <w:t xml:space="preserve"> 55034-2022</w:t>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t xml:space="preserve"> 3.2.5 各类操作平台、载人装置应安全可靠，周边应设置临边防护，并应具有足够的强度、刚度和稳定性，施工作业荷载严禁超过其设计荷载。</w:t>
      </w:r>
    </w:p>
  </w:footnote>
  <w:footnote w:id="1">
    <w:p w14:paraId="29FBE064">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《建筑施工</w:t>
      </w:r>
      <w:r>
        <w:rPr>
          <w:rFonts w:hint="eastAsia" w:ascii="宋体" w:hAnsi="宋体" w:eastAsia="宋体" w:cs="宋体"/>
          <w:i w:val="0"/>
          <w:iCs w:val="0"/>
          <w:caps w:val="0"/>
          <w:color w:val="333333"/>
          <w:spacing w:val="0"/>
          <w:sz w:val="18"/>
          <w:szCs w:val="18"/>
          <w:shd w:val="clear" w:fill="FFFFFF"/>
          <w:lang w:val="en-US" w:eastAsia="zh-CN"/>
        </w:rPr>
        <w:t>高处作业安全技术</w:t>
      </w:r>
      <w:r>
        <w:rPr>
          <w:rFonts w:hint="default" w:ascii="宋体" w:hAnsi="宋体" w:eastAsia="宋体" w:cs="宋体"/>
          <w:i w:val="0"/>
          <w:iCs w:val="0"/>
          <w:caps w:val="0"/>
          <w:color w:val="333333"/>
          <w:spacing w:val="0"/>
          <w:sz w:val="18"/>
          <w:szCs w:val="18"/>
          <w:shd w:val="clear" w:fill="FFFFFF"/>
          <w:lang w:val="en-US" w:eastAsia="zh-CN"/>
        </w:rPr>
        <w:t>规范</w:t>
      </w:r>
      <w:r>
        <w:rPr>
          <w:rFonts w:hint="eastAsia" w:ascii="宋体" w:hAnsi="宋体" w:eastAsia="宋体" w:cs="宋体"/>
          <w:i w:val="0"/>
          <w:iCs w:val="0"/>
          <w:caps w:val="0"/>
          <w:color w:val="333333"/>
          <w:spacing w:val="0"/>
          <w:sz w:val="18"/>
          <w:szCs w:val="18"/>
          <w:shd w:val="clear" w:fill="FFFFFF"/>
          <w:lang w:val="en-US" w:eastAsia="zh-CN"/>
        </w:rPr>
        <w:t>（</w:t>
      </w:r>
      <w:r>
        <w:rPr>
          <w:rFonts w:hint="default" w:ascii="Times New Roman" w:hAnsi="Times New Roman" w:eastAsia="宋体" w:cs="Times New Roman"/>
          <w:i w:val="0"/>
          <w:iCs w:val="0"/>
          <w:caps w:val="0"/>
          <w:color w:val="333333"/>
          <w:spacing w:val="0"/>
          <w:sz w:val="18"/>
          <w:szCs w:val="18"/>
          <w:shd w:val="clear" w:fill="FFFFFF"/>
          <w:lang w:val="en-US" w:eastAsia="zh-CN"/>
        </w:rPr>
        <w:t>JGJ</w:t>
      </w:r>
      <w:r>
        <w:rPr>
          <w:rFonts w:hint="default" w:ascii="宋体" w:hAnsi="宋体" w:eastAsia="宋体" w:cs="宋体"/>
          <w:i w:val="0"/>
          <w:iCs w:val="0"/>
          <w:caps w:val="0"/>
          <w:color w:val="333333"/>
          <w:spacing w:val="0"/>
          <w:sz w:val="18"/>
          <w:szCs w:val="18"/>
          <w:shd w:val="clear" w:fill="FFFFFF"/>
          <w:lang w:val="en-US" w:eastAsia="zh-CN"/>
        </w:rPr>
        <w:t>80-2016</w:t>
      </w:r>
      <w:r>
        <w:rPr>
          <w:rFonts w:hint="eastAsia" w:ascii="宋体" w:hAnsi="宋体" w:eastAsia="宋体" w:cs="宋体"/>
          <w:i w:val="0"/>
          <w:iCs w:val="0"/>
          <w:caps w:val="0"/>
          <w:color w:val="333333"/>
          <w:spacing w:val="0"/>
          <w:sz w:val="18"/>
          <w:szCs w:val="18"/>
          <w:shd w:val="clear" w:fill="FFFFFF"/>
          <w:lang w:val="en-US" w:eastAsia="zh-CN"/>
        </w:rPr>
        <w:t>）</w:t>
      </w:r>
      <w:r>
        <w:rPr>
          <w:rFonts w:hint="default"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t xml:space="preserve"> 4.2.1 洞口作业时，应采取防坠落措施，并应符合下列规定:4 当非竖向洞口短边边长大于或等于 1500</w:t>
      </w:r>
      <w:r>
        <w:rPr>
          <w:rFonts w:hint="eastAsia" w:ascii="Times New Roman" w:hAnsi="Times New Roman" w:eastAsia="宋体" w:cs="Times New Roman"/>
          <w:i w:val="0"/>
          <w:iCs w:val="0"/>
          <w:caps w:val="0"/>
          <w:color w:val="333333"/>
          <w:spacing w:val="0"/>
          <w:sz w:val="18"/>
          <w:szCs w:val="18"/>
          <w:shd w:val="clear" w:fill="FFFFFF"/>
          <w:lang w:val="en-US" w:eastAsia="zh-CN"/>
        </w:rPr>
        <w:t>mm</w:t>
      </w:r>
      <w:r>
        <w:rPr>
          <w:rFonts w:hint="eastAsia" w:ascii="宋体" w:hAnsi="宋体" w:eastAsia="宋体" w:cs="宋体"/>
          <w:i w:val="0"/>
          <w:iCs w:val="0"/>
          <w:caps w:val="0"/>
          <w:color w:val="333333"/>
          <w:spacing w:val="0"/>
          <w:sz w:val="18"/>
          <w:szCs w:val="18"/>
          <w:shd w:val="clear" w:fill="FFFFFF"/>
          <w:lang w:val="en-US" w:eastAsia="zh-CN"/>
        </w:rPr>
        <w:t xml:space="preserve"> 时，应在洞口作业侧设置高度不小于1.2</w:t>
      </w:r>
      <w:r>
        <w:rPr>
          <w:rFonts w:hint="eastAsia" w:ascii="Times New Roman" w:hAnsi="Times New Roman" w:eastAsia="宋体" w:cs="Times New Roman"/>
          <w:i w:val="0"/>
          <w:iCs w:val="0"/>
          <w:caps w:val="0"/>
          <w:color w:val="333333"/>
          <w:spacing w:val="0"/>
          <w:sz w:val="18"/>
          <w:szCs w:val="18"/>
          <w:shd w:val="clear" w:fill="FFFFFF"/>
          <w:lang w:val="en-US" w:eastAsia="zh-CN"/>
        </w:rPr>
        <w:t>m</w:t>
      </w:r>
      <w:r>
        <w:rPr>
          <w:rFonts w:hint="eastAsia" w:ascii="宋体" w:hAnsi="宋体" w:eastAsia="宋体" w:cs="宋体"/>
          <w:i w:val="0"/>
          <w:iCs w:val="0"/>
          <w:caps w:val="0"/>
          <w:color w:val="333333"/>
          <w:spacing w:val="0"/>
          <w:sz w:val="18"/>
          <w:szCs w:val="18"/>
          <w:shd w:val="clear" w:fill="FFFFFF"/>
          <w:lang w:val="en-US" w:eastAsia="zh-CN"/>
        </w:rPr>
        <w:t xml:space="preserve"> 的防护栏杆，洞口应采用安全平网封闭。</w:t>
      </w:r>
    </w:p>
  </w:footnote>
  <w:footnote w:id="2">
    <w:p w14:paraId="687FCDB2">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w:t>
      </w:r>
      <w:r>
        <w:rPr>
          <w:rFonts w:hint="eastAsia" w:ascii="宋体" w:hAnsi="宋体" w:eastAsia="宋体" w:cs="宋体"/>
          <w:i w:val="0"/>
          <w:iCs w:val="0"/>
          <w:caps w:val="0"/>
          <w:color w:val="333333"/>
          <w:spacing w:val="0"/>
          <w:sz w:val="18"/>
          <w:szCs w:val="18"/>
          <w:shd w:val="clear" w:fill="FFFFFF"/>
          <w:lang w:val="en-US" w:eastAsia="zh-CN"/>
        </w:rPr>
        <w:t>四十一</w:t>
      </w:r>
      <w:r>
        <w:rPr>
          <w:rFonts w:hint="default" w:ascii="宋体" w:hAnsi="宋体" w:eastAsia="宋体" w:cs="宋体"/>
          <w:i w:val="0"/>
          <w:iCs w:val="0"/>
          <w:caps w:val="0"/>
          <w:color w:val="333333"/>
          <w:spacing w:val="0"/>
          <w:sz w:val="18"/>
          <w:szCs w:val="18"/>
          <w:shd w:val="clear" w:fill="FFFFFF"/>
          <w:lang w:val="en-US" w:eastAsia="zh-CN"/>
        </w:rPr>
        <w:t>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生产经营单位应当建立安全风险分级管控制度，按照安全风险分级采取相应的管控措施。</w:t>
      </w:r>
    </w:p>
  </w:footnote>
  <w:footnote w:id="3">
    <w:p w14:paraId="7587DA0D">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w:t>
      </w:r>
      <w:r>
        <w:rPr>
          <w:rFonts w:hint="eastAsia" w:ascii="宋体" w:hAnsi="宋体" w:eastAsia="宋体" w:cs="宋体"/>
          <w:i w:val="0"/>
          <w:iCs w:val="0"/>
          <w:caps w:val="0"/>
          <w:color w:val="333333"/>
          <w:spacing w:val="0"/>
          <w:sz w:val="18"/>
          <w:szCs w:val="18"/>
          <w:shd w:val="clear" w:fill="FFFFFF"/>
          <w:lang w:val="en-US" w:eastAsia="zh-CN"/>
        </w:rPr>
        <w:t>四十一</w:t>
      </w:r>
      <w:r>
        <w:rPr>
          <w:rFonts w:hint="default" w:ascii="宋体" w:hAnsi="宋体" w:eastAsia="宋体" w:cs="宋体"/>
          <w:i w:val="0"/>
          <w:iCs w:val="0"/>
          <w:caps w:val="0"/>
          <w:color w:val="333333"/>
          <w:spacing w:val="0"/>
          <w:sz w:val="18"/>
          <w:szCs w:val="18"/>
          <w:shd w:val="clear" w:fill="FFFFFF"/>
          <w:lang w:val="en-US" w:eastAsia="zh-CN"/>
        </w:rPr>
        <w:t>条</w:t>
      </w:r>
      <w:r>
        <w:rPr>
          <w:rFonts w:hint="eastAsia" w:ascii="宋体" w:hAnsi="宋体" w:eastAsia="宋体" w:cs="宋体"/>
          <w:i w:val="0"/>
          <w:iCs w:val="0"/>
          <w:caps w:val="0"/>
          <w:color w:val="333333"/>
          <w:spacing w:val="0"/>
          <w:sz w:val="18"/>
          <w:szCs w:val="18"/>
          <w:shd w:val="clear" w:fill="FFFFFF"/>
          <w:lang w:val="en-US" w:eastAsia="zh-CN"/>
        </w:rPr>
        <w:t>第二款：</w:t>
      </w:r>
      <w:r>
        <w:rPr>
          <w:rFonts w:hint="default" w:ascii="宋体" w:hAnsi="宋体" w:eastAsia="宋体" w:cs="宋体"/>
          <w:i w:val="0"/>
          <w:iCs w:val="0"/>
          <w:caps w:val="0"/>
          <w:color w:val="333333"/>
          <w:spacing w:val="0"/>
          <w:sz w:val="18"/>
          <w:szCs w:val="18"/>
          <w:shd w:val="clear" w:fill="FFFFFF"/>
          <w:lang w:val="en-US" w:eastAsia="zh-CN"/>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r>
        <w:rPr>
          <w:rFonts w:hint="eastAsia" w:ascii="宋体" w:hAnsi="宋体" w:eastAsia="宋体" w:cs="宋体"/>
          <w:i w:val="0"/>
          <w:iCs w:val="0"/>
          <w:caps w:val="0"/>
          <w:color w:val="333333"/>
          <w:spacing w:val="0"/>
          <w:sz w:val="18"/>
          <w:szCs w:val="18"/>
          <w:shd w:val="clear" w:fill="FFFFFF"/>
          <w:lang w:val="en-US" w:eastAsia="zh-CN"/>
        </w:rPr>
        <w:t>。</w:t>
      </w:r>
    </w:p>
  </w:footnote>
  <w:footnote w:id="4">
    <w:p w14:paraId="471DE821">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第二十八条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生产经营单位应当对从业人员进行安全生产教育和培训，保证从业人员具备必要的安全生产知识，熟悉有关的安全生产规章制度和安全操作规程， 掌握本岗位的安全操作技能，了解事故应急处理措施，知悉自身在安全生产方面的权利和义务。未经安全生产教育和培训合格的从业人员，不得上岗作业。</w:t>
      </w:r>
    </w:p>
  </w:footnote>
  <w:footnote w:id="5">
    <w:p w14:paraId="0D50DCA6">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w:t>
      </w:r>
      <w:r>
        <w:rPr>
          <w:rFonts w:hint="eastAsia" w:ascii="宋体" w:hAnsi="宋体" w:eastAsia="宋体" w:cs="宋体"/>
          <w:i w:val="0"/>
          <w:iCs w:val="0"/>
          <w:caps w:val="0"/>
          <w:color w:val="333333"/>
          <w:spacing w:val="0"/>
          <w:sz w:val="18"/>
          <w:szCs w:val="18"/>
          <w:shd w:val="clear" w:fill="FFFFFF"/>
          <w:lang w:val="en-US" w:eastAsia="zh-CN"/>
        </w:rPr>
        <w:t>四十一</w:t>
      </w:r>
      <w:r>
        <w:rPr>
          <w:rFonts w:hint="default" w:ascii="宋体" w:hAnsi="宋体" w:eastAsia="宋体" w:cs="宋体"/>
          <w:i w:val="0"/>
          <w:iCs w:val="0"/>
          <w:caps w:val="0"/>
          <w:color w:val="333333"/>
          <w:spacing w:val="0"/>
          <w:sz w:val="18"/>
          <w:szCs w:val="18"/>
          <w:shd w:val="clear" w:fill="FFFFFF"/>
          <w:lang w:val="en-US" w:eastAsia="zh-CN"/>
        </w:rPr>
        <w:t>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生产经营单位应当建立安全风险分级管控制度，按照安全风险分级采取相应的管控措施。</w:t>
      </w:r>
    </w:p>
  </w:footnote>
  <w:footnote w:id="6">
    <w:p w14:paraId="3F9D3B1A">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w:t>
      </w:r>
      <w:r>
        <w:rPr>
          <w:rFonts w:hint="eastAsia" w:ascii="宋体" w:hAnsi="宋体" w:eastAsia="宋体" w:cs="宋体"/>
          <w:i w:val="0"/>
          <w:iCs w:val="0"/>
          <w:caps w:val="0"/>
          <w:color w:val="333333"/>
          <w:spacing w:val="0"/>
          <w:sz w:val="18"/>
          <w:szCs w:val="18"/>
          <w:shd w:val="clear" w:fill="FFFFFF"/>
          <w:lang w:val="en-US" w:eastAsia="zh-CN"/>
        </w:rPr>
        <w:t>四十二条第二款：</w:t>
      </w:r>
      <w:r>
        <w:rPr>
          <w:rFonts w:hint="default" w:ascii="宋体" w:hAnsi="宋体" w:eastAsia="宋体" w:cs="宋体"/>
          <w:i w:val="0"/>
          <w:iCs w:val="0"/>
          <w:caps w:val="0"/>
          <w:color w:val="333333"/>
          <w:spacing w:val="0"/>
          <w:sz w:val="18"/>
          <w:szCs w:val="18"/>
          <w:shd w:val="clear" w:fill="FFFFFF"/>
          <w:lang w:val="en-US" w:eastAsia="zh-CN"/>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footnote>
  <w:footnote w:id="7">
    <w:p w14:paraId="464DE300">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w:t>
      </w:r>
      <w:r>
        <w:rPr>
          <w:rFonts w:hint="default" w:ascii="宋体" w:hAnsi="宋体" w:eastAsia="宋体" w:cs="宋体"/>
          <w:i w:val="0"/>
          <w:iCs w:val="0"/>
          <w:caps w:val="0"/>
          <w:color w:val="333333"/>
          <w:spacing w:val="0"/>
          <w:sz w:val="18"/>
          <w:szCs w:val="18"/>
          <w:shd w:val="clear" w:fill="FFFFFF"/>
          <w:lang w:val="en-US" w:eastAsia="zh-CN"/>
        </w:rPr>
        <w:t>第二十八条</w:t>
      </w:r>
      <w:r>
        <w:rPr>
          <w:rFonts w:hint="eastAsia" w:ascii="宋体" w:hAnsi="宋体" w:eastAsia="宋体" w:cs="宋体"/>
          <w:i w:val="0"/>
          <w:iCs w:val="0"/>
          <w:caps w:val="0"/>
          <w:color w:val="333333"/>
          <w:spacing w:val="0"/>
          <w:sz w:val="18"/>
          <w:szCs w:val="18"/>
          <w:shd w:val="clear" w:fill="FFFFFF"/>
          <w:lang w:val="en-US" w:eastAsia="zh-CN"/>
        </w:rPr>
        <w:t>第一款：</w:t>
      </w:r>
      <w:r>
        <w:rPr>
          <w:rFonts w:hint="default" w:ascii="宋体" w:hAnsi="宋体" w:eastAsia="宋体" w:cs="宋体"/>
          <w:i w:val="0"/>
          <w:iCs w:val="0"/>
          <w:caps w:val="0"/>
          <w:color w:val="333333"/>
          <w:spacing w:val="0"/>
          <w:sz w:val="18"/>
          <w:szCs w:val="18"/>
          <w:shd w:val="clear" w:fill="FFFFFF"/>
          <w:lang w:val="en-US" w:eastAsia="zh-CN"/>
        </w:rPr>
        <w:t>生产经营单位应当对从业人员进行安全生产教育和培训，保证从业人员具备必要的安全生产知识，熟悉有关的安全生产规章制度和安全操作规程， 掌握本岗位的安全操作技能，了解事故应急处理措施，知悉自身在安全生产方面的权利和义务。未经安全生产教育和培训合格的从业人员，不得上岗作业。</w:t>
      </w:r>
    </w:p>
  </w:footnote>
  <w:footnote w:id="8">
    <w:p w14:paraId="06C3F978">
      <w:pPr>
        <w:pStyle w:val="9"/>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]《中华人民共和国安全生产法》第二十一条第四项和第五项：生产经营单位的主要负责人对本单位安全生产工作负有下列职责：</w:t>
      </w:r>
      <w:r>
        <w:rPr>
          <w:rFonts w:hint="default" w:ascii="宋体" w:hAnsi="宋体" w:eastAsia="宋体" w:cs="宋体"/>
          <w:i w:val="0"/>
          <w:iCs w:val="0"/>
          <w:caps w:val="0"/>
          <w:color w:val="333333"/>
          <w:spacing w:val="0"/>
          <w:sz w:val="18"/>
          <w:szCs w:val="18"/>
          <w:shd w:val="clear" w:fill="FFFFFF"/>
          <w:lang w:val="en-US" w:eastAsia="zh-CN"/>
        </w:rPr>
        <w:t>（四）保证本单位安全生产投入的有效实施；（五）组织建立并落实安全风险分级管控和隐患排查治理双重预防工作机制，督促、检查本单位的安全生产工作，及时消除生产安全事故隐患</w:t>
      </w:r>
      <w:r>
        <w:rPr>
          <w:rFonts w:hint="eastAsia" w:ascii="宋体" w:hAnsi="宋体" w:eastAsia="宋体" w:cs="宋体"/>
          <w:i w:val="0"/>
          <w:iCs w:val="0"/>
          <w:caps w:val="0"/>
          <w:color w:val="333333"/>
          <w:spacing w:val="0"/>
          <w:sz w:val="18"/>
          <w:szCs w:val="18"/>
          <w:shd w:val="clear" w:fill="FFFFFF"/>
          <w:lang w:val="en-US" w:eastAsia="zh-C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18"/>
    <w:footnote w:id="19"/>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2MzEyMTdiNjdjYjIyYTY2ODA4NWVjNmJjNTVhMzkifQ=="/>
  </w:docVars>
  <w:rsids>
    <w:rsidRoot w:val="51194DA5"/>
    <w:rsid w:val="01BF166D"/>
    <w:rsid w:val="025B14EB"/>
    <w:rsid w:val="039D55F6"/>
    <w:rsid w:val="04541FBF"/>
    <w:rsid w:val="04EB0562"/>
    <w:rsid w:val="06B86A37"/>
    <w:rsid w:val="06C248A3"/>
    <w:rsid w:val="06C97AB1"/>
    <w:rsid w:val="07075397"/>
    <w:rsid w:val="072F7455"/>
    <w:rsid w:val="0BE77E99"/>
    <w:rsid w:val="0CE515B5"/>
    <w:rsid w:val="0CF053C7"/>
    <w:rsid w:val="0CFB0D20"/>
    <w:rsid w:val="0E387D67"/>
    <w:rsid w:val="0F8B0C86"/>
    <w:rsid w:val="0FD6518B"/>
    <w:rsid w:val="100C1DE2"/>
    <w:rsid w:val="10185BF4"/>
    <w:rsid w:val="10DD24EB"/>
    <w:rsid w:val="10E20B40"/>
    <w:rsid w:val="12366BD3"/>
    <w:rsid w:val="12442092"/>
    <w:rsid w:val="13806921"/>
    <w:rsid w:val="140838EB"/>
    <w:rsid w:val="1511631C"/>
    <w:rsid w:val="16337E88"/>
    <w:rsid w:val="167707FD"/>
    <w:rsid w:val="16800499"/>
    <w:rsid w:val="18314FC0"/>
    <w:rsid w:val="18484C8B"/>
    <w:rsid w:val="193E1C7A"/>
    <w:rsid w:val="199B6790"/>
    <w:rsid w:val="1C7558BE"/>
    <w:rsid w:val="1C9673F2"/>
    <w:rsid w:val="1F603109"/>
    <w:rsid w:val="1FDE39D7"/>
    <w:rsid w:val="1FEB2CED"/>
    <w:rsid w:val="20D0721B"/>
    <w:rsid w:val="22297D19"/>
    <w:rsid w:val="2350337E"/>
    <w:rsid w:val="24363F82"/>
    <w:rsid w:val="24B1414A"/>
    <w:rsid w:val="24D221F6"/>
    <w:rsid w:val="24DA53F4"/>
    <w:rsid w:val="26035DEB"/>
    <w:rsid w:val="2635403B"/>
    <w:rsid w:val="269A2DD1"/>
    <w:rsid w:val="27FE272D"/>
    <w:rsid w:val="28A320EE"/>
    <w:rsid w:val="28D02A86"/>
    <w:rsid w:val="291E6775"/>
    <w:rsid w:val="29C54C03"/>
    <w:rsid w:val="2EA53E15"/>
    <w:rsid w:val="2EFA2B99"/>
    <w:rsid w:val="2F6272D6"/>
    <w:rsid w:val="35BA13B5"/>
    <w:rsid w:val="37C86419"/>
    <w:rsid w:val="3BFD046C"/>
    <w:rsid w:val="3C340CD4"/>
    <w:rsid w:val="3CBB35B6"/>
    <w:rsid w:val="3CE81A7C"/>
    <w:rsid w:val="3DFD3B43"/>
    <w:rsid w:val="3E00417F"/>
    <w:rsid w:val="3E504639"/>
    <w:rsid w:val="3F3D1F51"/>
    <w:rsid w:val="3F7A2CAD"/>
    <w:rsid w:val="3FFD6B0B"/>
    <w:rsid w:val="40C60753"/>
    <w:rsid w:val="40E116CF"/>
    <w:rsid w:val="412703B3"/>
    <w:rsid w:val="413A6F55"/>
    <w:rsid w:val="428A713A"/>
    <w:rsid w:val="42E06844"/>
    <w:rsid w:val="43900E0E"/>
    <w:rsid w:val="448926C6"/>
    <w:rsid w:val="452219F1"/>
    <w:rsid w:val="46D40D43"/>
    <w:rsid w:val="46E60C47"/>
    <w:rsid w:val="47FF6E96"/>
    <w:rsid w:val="49E45F5F"/>
    <w:rsid w:val="4A0326E9"/>
    <w:rsid w:val="4C171E65"/>
    <w:rsid w:val="4C181799"/>
    <w:rsid w:val="4CC15681"/>
    <w:rsid w:val="4CC74F06"/>
    <w:rsid w:val="4DA100EC"/>
    <w:rsid w:val="4DBD4199"/>
    <w:rsid w:val="4DD93DE3"/>
    <w:rsid w:val="4E80218D"/>
    <w:rsid w:val="4FB87457"/>
    <w:rsid w:val="4FCA1119"/>
    <w:rsid w:val="508D27A6"/>
    <w:rsid w:val="51194DA5"/>
    <w:rsid w:val="51F4040A"/>
    <w:rsid w:val="523E5EFC"/>
    <w:rsid w:val="52FD5035"/>
    <w:rsid w:val="53132A5C"/>
    <w:rsid w:val="542100C3"/>
    <w:rsid w:val="55583B90"/>
    <w:rsid w:val="56B43E4C"/>
    <w:rsid w:val="593F3B16"/>
    <w:rsid w:val="5A6B2D19"/>
    <w:rsid w:val="5B02022D"/>
    <w:rsid w:val="5C3B233F"/>
    <w:rsid w:val="5D227959"/>
    <w:rsid w:val="5D3C2A97"/>
    <w:rsid w:val="5DB15F43"/>
    <w:rsid w:val="5E2B5C0D"/>
    <w:rsid w:val="5FEF0499"/>
    <w:rsid w:val="60A423A3"/>
    <w:rsid w:val="610466BA"/>
    <w:rsid w:val="615F7CCE"/>
    <w:rsid w:val="6164634C"/>
    <w:rsid w:val="637706CF"/>
    <w:rsid w:val="63B05F18"/>
    <w:rsid w:val="6425175A"/>
    <w:rsid w:val="643F551C"/>
    <w:rsid w:val="665E65C4"/>
    <w:rsid w:val="66FF570B"/>
    <w:rsid w:val="675E1315"/>
    <w:rsid w:val="67EB5D09"/>
    <w:rsid w:val="68AD66CB"/>
    <w:rsid w:val="698B7EF5"/>
    <w:rsid w:val="6ABC1A6B"/>
    <w:rsid w:val="6B3B3BE2"/>
    <w:rsid w:val="6B48073D"/>
    <w:rsid w:val="6B5F75BD"/>
    <w:rsid w:val="6C472C93"/>
    <w:rsid w:val="6CA86ED0"/>
    <w:rsid w:val="6E491E80"/>
    <w:rsid w:val="6E9842AD"/>
    <w:rsid w:val="6ED6597F"/>
    <w:rsid w:val="725D3437"/>
    <w:rsid w:val="74415A7B"/>
    <w:rsid w:val="761009CA"/>
    <w:rsid w:val="761A356D"/>
    <w:rsid w:val="776524BB"/>
    <w:rsid w:val="782F143B"/>
    <w:rsid w:val="78FD7415"/>
    <w:rsid w:val="79485462"/>
    <w:rsid w:val="794A540B"/>
    <w:rsid w:val="7A8C2C0C"/>
    <w:rsid w:val="7AC853A4"/>
    <w:rsid w:val="7B602578"/>
    <w:rsid w:val="7BE80030"/>
    <w:rsid w:val="7E42647E"/>
    <w:rsid w:val="7EF127D4"/>
    <w:rsid w:val="7EFD0B4E"/>
    <w:rsid w:val="7FAD7AFF"/>
    <w:rsid w:val="7FC17096"/>
    <w:rsid w:val="D5767253"/>
    <w:rsid w:val="E791E825"/>
    <w:rsid w:val="F4EFD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rPr>
      <w:rFonts w:eastAsia="仿宋"/>
      <w:sz w:val="32"/>
    </w:rPr>
  </w:style>
  <w:style w:type="paragraph" w:styleId="4">
    <w:name w:val="Body Text"/>
    <w:basedOn w:val="1"/>
    <w:next w:val="3"/>
    <w:qFormat/>
    <w:uiPriority w:val="0"/>
    <w:pPr>
      <w:spacing w:before="100" w:beforeAutospacing="1" w:after="100" w:afterAutospacing="1"/>
      <w:ind w:left="136"/>
    </w:pPr>
    <w:rPr>
      <w:rFonts w:ascii="宋体" w:hAnsi="宋体"/>
      <w:sz w:val="28"/>
      <w:szCs w:val="28"/>
    </w:rPr>
  </w:style>
  <w:style w:type="paragraph" w:styleId="5">
    <w:name w:val="Body Text Indent"/>
    <w:basedOn w:val="1"/>
    <w:next w:val="3"/>
    <w:qFormat/>
    <w:uiPriority w:val="0"/>
    <w:pPr>
      <w:ind w:firstLine="622"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footnote text"/>
    <w:basedOn w:val="1"/>
    <w:qFormat/>
    <w:uiPriority w:val="0"/>
    <w:pPr>
      <w:snapToGrid w:val="0"/>
      <w:jc w:val="left"/>
    </w:pPr>
    <w:rPr>
      <w:sz w:val="18"/>
    </w:rPr>
  </w:style>
  <w:style w:type="paragraph" w:styleId="10">
    <w:name w:val="toc 2"/>
    <w:basedOn w:val="1"/>
    <w:next w:val="1"/>
    <w:qFormat/>
    <w:uiPriority w:val="0"/>
    <w:pPr>
      <w:ind w:left="420" w:leftChars="200"/>
    </w:pPr>
  </w:style>
  <w:style w:type="paragraph" w:styleId="11">
    <w:name w:val="Body Text First Indent 2"/>
    <w:basedOn w:val="5"/>
    <w:next w:val="1"/>
    <w:qFormat/>
    <w:uiPriority w:val="0"/>
    <w:pPr>
      <w:ind w:firstLine="42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styleId="16">
    <w:name w:val="footnote reference"/>
    <w:basedOn w:val="13"/>
    <w:qFormat/>
    <w:uiPriority w:val="0"/>
    <w:rPr>
      <w:vertAlign w:val="superscript"/>
    </w:rPr>
  </w:style>
  <w:style w:type="paragraph" w:customStyle="1" w:styleId="17">
    <w:name w:val="li_正文"/>
    <w:basedOn w:val="1"/>
    <w:autoRedefine/>
    <w:qFormat/>
    <w:uiPriority w:val="0"/>
    <w:pPr>
      <w:widowControl w:val="0"/>
      <w:topLinePunct/>
      <w:adjustRightInd w:val="0"/>
      <w:snapToGrid w:val="0"/>
      <w:spacing w:line="360" w:lineRule="auto"/>
      <w:ind w:firstLine="700" w:firstLineChars="250"/>
      <w:textAlignment w:val="auto"/>
    </w:pPr>
    <w:rPr>
      <w:rFonts w:ascii="宋体" w:hAnsi="宋体"/>
      <w:sz w:val="28"/>
      <w:szCs w:val="28"/>
      <w:u w:val="none" w:color="auto"/>
    </w:rPr>
  </w:style>
  <w:style w:type="paragraph" w:customStyle="1" w:styleId="18">
    <w:name w:val="Body Text First Indent 2"/>
    <w:basedOn w:val="19"/>
    <w:next w:val="1"/>
    <w:qFormat/>
    <w:uiPriority w:val="0"/>
    <w:pPr>
      <w:ind w:firstLine="420"/>
    </w:pPr>
  </w:style>
  <w:style w:type="paragraph" w:customStyle="1" w:styleId="19">
    <w:name w:val="Body Text Indent"/>
    <w:basedOn w:val="1"/>
    <w:next w:val="20"/>
    <w:qFormat/>
    <w:uiPriority w:val="0"/>
    <w:pPr>
      <w:ind w:firstLine="640" w:firstLineChars="200"/>
    </w:pPr>
    <w:rPr>
      <w:snapToGrid w:val="0"/>
      <w:kern w:val="0"/>
    </w:rPr>
  </w:style>
  <w:style w:type="paragraph" w:customStyle="1" w:styleId="20">
    <w:name w:val="Normal Indent"/>
    <w:basedOn w:val="1"/>
    <w:qFormat/>
    <w:uiPriority w:val="0"/>
    <w:pPr>
      <w:ind w:firstLine="420" w:firstLineChars="200"/>
    </w:pPr>
    <w:rPr>
      <w:rFonts w:eastAsia="仿宋"/>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4584</Words>
  <Characters>4977</Characters>
  <Lines>0</Lines>
  <Paragraphs>0</Paragraphs>
  <TotalTime>0</TotalTime>
  <ScaleCrop>false</ScaleCrop>
  <LinksUpToDate>false</LinksUpToDate>
  <CharactersWithSpaces>5207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2024-06-27T14:58:00Z</dcterms:created>
  <dc:creator>Asnlssu</dc:creator>
  <cp:lastModifiedBy>Asnlssu</cp:lastModifiedBy>
  <cp:lastPrinted>2026-01-05T03:16:00Z</cp:lastPrinted>
  <dcterms:modified xsi:type="dcterms:W3CDTF">2026-07-23T07:41:31Z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D9063D0AE58D4B01A6A9050FB6AB58B3_13</vt:lpwstr>
  </property>
  <property fmtid="{D5CDD505-2E9C-101B-9397-08002B2CF9AE}" pid="4" name="KSOTemplateDocerSaveRecord">
    <vt:lpwstr>eyJoZGlkIjoiZDYzOTYzZjczNGZmNGI3MzhlNGQzMDkxYzE4YzYxOGEiLCJ1c2VySWQiOiIxMTc5NDgzNjMxIn0=</vt:lpwstr>
  </property>
</Properties>
</file>