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9465FA">
      <w:pPr>
        <w:pStyle w:val="2"/>
        <w:rPr>
          <w:rFonts w:hint="eastAsia"/>
          <w:color w:val="000000" w:themeColor="text1"/>
          <w:lang w:val="en-US" w:eastAsia="zh-CN"/>
          <w14:textFill>
            <w14:solidFill>
              <w14:schemeClr w14:val="tx1"/>
            </w14:solidFill>
          </w14:textFill>
        </w:rPr>
      </w:pPr>
      <w:bookmarkStart w:id="31" w:name="_GoBack"/>
      <w:bookmarkEnd w:id="31"/>
    </w:p>
    <w:p w14:paraId="45A135EA">
      <w:pPr>
        <w:pStyle w:val="2"/>
        <w:rPr>
          <w:rFonts w:hint="eastAsia"/>
          <w:color w:val="000000" w:themeColor="text1"/>
          <w:lang w:val="en-US" w:eastAsia="zh-CN"/>
          <w14:textFill>
            <w14:solidFill>
              <w14:schemeClr w14:val="tx1"/>
            </w14:solidFill>
          </w14:textFill>
        </w:rPr>
      </w:pPr>
    </w:p>
    <w:p w14:paraId="7B9C8A76">
      <w:pPr>
        <w:jc w:val="center"/>
        <w:outlineLvl w:val="0"/>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pPr>
      <w:bookmarkStart w:id="0" w:name="_Toc24460"/>
      <w:bookmarkStart w:id="1" w:name="_Toc13948"/>
      <w:bookmarkStart w:id="2" w:name="_Toc12013"/>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新沟桥中百仓储超市有限公司江璟城社区分店“3·29”一般触电安全事故</w:t>
      </w:r>
      <w:bookmarkEnd w:id="0"/>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调查报告</w:t>
      </w:r>
      <w:bookmarkEnd w:id="1"/>
      <w:bookmarkEnd w:id="2"/>
    </w:p>
    <w:p w14:paraId="4D1F7D73">
      <w:pPr>
        <w:jc w:val="both"/>
        <w:rPr>
          <w:rFonts w:hint="eastAsia" w:ascii="宋体" w:hAnsi="宋体" w:eastAsia="宋体" w:cs="宋体"/>
          <w:b/>
          <w:bCs/>
          <w:color w:val="000000" w:themeColor="text1"/>
          <w:sz w:val="48"/>
          <w:szCs w:val="48"/>
          <w:lang w:val="en-US" w:eastAsia="zh-CN"/>
          <w14:textFill>
            <w14:solidFill>
              <w14:schemeClr w14:val="tx1"/>
            </w14:solidFill>
          </w14:textFill>
        </w:rPr>
      </w:pPr>
    </w:p>
    <w:p w14:paraId="4287EB12">
      <w:pPr>
        <w:pStyle w:val="2"/>
        <w:rPr>
          <w:rFonts w:hint="eastAsia"/>
          <w:lang w:val="en-US" w:eastAsia="zh-CN"/>
        </w:rPr>
      </w:pPr>
    </w:p>
    <w:p w14:paraId="2811C9D4">
      <w:pPr>
        <w:jc w:val="both"/>
        <w:rPr>
          <w:rFonts w:hint="eastAsia" w:ascii="宋体" w:hAnsi="宋体" w:eastAsia="宋体" w:cs="宋体"/>
          <w:b/>
          <w:bCs/>
          <w:color w:val="000000" w:themeColor="text1"/>
          <w:sz w:val="48"/>
          <w:szCs w:val="48"/>
          <w:lang w:val="en-US" w:eastAsia="zh-CN"/>
          <w14:textFill>
            <w14:solidFill>
              <w14:schemeClr w14:val="tx1"/>
            </w14:solidFill>
          </w14:textFill>
        </w:rPr>
      </w:pPr>
    </w:p>
    <w:p w14:paraId="6D183431">
      <w:pPr>
        <w:jc w:val="both"/>
        <w:rPr>
          <w:rFonts w:hint="eastAsia" w:ascii="宋体" w:hAnsi="宋体" w:eastAsia="宋体" w:cs="宋体"/>
          <w:b/>
          <w:bCs/>
          <w:color w:val="000000" w:themeColor="text1"/>
          <w:sz w:val="48"/>
          <w:szCs w:val="48"/>
          <w:lang w:val="en-US" w:eastAsia="zh-CN"/>
          <w14:textFill>
            <w14:solidFill>
              <w14:schemeClr w14:val="tx1"/>
            </w14:solidFill>
          </w14:textFill>
        </w:rPr>
      </w:pPr>
    </w:p>
    <w:p w14:paraId="03CCE4F5">
      <w:pPr>
        <w:jc w:val="both"/>
        <w:rPr>
          <w:rFonts w:hint="eastAsia" w:ascii="宋体" w:hAnsi="宋体" w:eastAsia="宋体" w:cs="宋体"/>
          <w:b/>
          <w:bCs/>
          <w:color w:val="000000" w:themeColor="text1"/>
          <w:sz w:val="48"/>
          <w:szCs w:val="48"/>
          <w:lang w:val="en-US" w:eastAsia="zh-CN"/>
          <w14:textFill>
            <w14:solidFill>
              <w14:schemeClr w14:val="tx1"/>
            </w14:solidFill>
          </w14:textFill>
        </w:rPr>
      </w:pPr>
    </w:p>
    <w:p w14:paraId="5C17912E">
      <w:pPr>
        <w:jc w:val="both"/>
        <w:rPr>
          <w:rFonts w:hint="eastAsia" w:ascii="宋体" w:hAnsi="宋体" w:eastAsia="宋体" w:cs="宋体"/>
          <w:b/>
          <w:bCs/>
          <w:color w:val="000000" w:themeColor="text1"/>
          <w:sz w:val="48"/>
          <w:szCs w:val="48"/>
          <w:lang w:val="en-US" w:eastAsia="zh-CN"/>
          <w14:textFill>
            <w14:solidFill>
              <w14:schemeClr w14:val="tx1"/>
            </w14:solidFill>
          </w14:textFill>
        </w:rPr>
      </w:pPr>
    </w:p>
    <w:p w14:paraId="31891CEF">
      <w:pPr>
        <w:jc w:val="both"/>
        <w:rPr>
          <w:rFonts w:hint="eastAsia" w:ascii="宋体" w:hAnsi="宋体" w:eastAsia="宋体" w:cs="宋体"/>
          <w:b/>
          <w:bCs/>
          <w:color w:val="000000" w:themeColor="text1"/>
          <w:sz w:val="48"/>
          <w:szCs w:val="48"/>
          <w:lang w:val="en-US" w:eastAsia="zh-CN"/>
          <w14:textFill>
            <w14:solidFill>
              <w14:schemeClr w14:val="tx1"/>
            </w14:solidFill>
          </w14:textFill>
        </w:rPr>
      </w:pPr>
    </w:p>
    <w:p w14:paraId="5CA99369">
      <w:pPr>
        <w:pStyle w:val="2"/>
        <w:ind w:left="0" w:leftChars="0" w:firstLine="0" w:firstLineChars="0"/>
        <w:rPr>
          <w:rFonts w:hint="eastAsia" w:ascii="宋体" w:hAnsi="宋体" w:eastAsia="宋体" w:cs="宋体"/>
          <w:b/>
          <w:bCs/>
          <w:color w:val="000000" w:themeColor="text1"/>
          <w:sz w:val="48"/>
          <w:szCs w:val="48"/>
          <w:lang w:val="en-US" w:eastAsia="zh-CN"/>
          <w14:textFill>
            <w14:solidFill>
              <w14:schemeClr w14:val="tx1"/>
            </w14:solidFill>
          </w14:textFill>
        </w:rPr>
      </w:pPr>
    </w:p>
    <w:p w14:paraId="3236F7AF">
      <w:pPr>
        <w:jc w:val="both"/>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p>
    <w:p w14:paraId="1C196417">
      <w:pPr>
        <w:pStyle w:val="2"/>
        <w:rPr>
          <w:rFonts w:hint="eastAsia"/>
          <w:lang w:val="en-US" w:eastAsia="zh-CN"/>
        </w:rPr>
      </w:pPr>
    </w:p>
    <w:p w14:paraId="38199E06">
      <w:pPr>
        <w:jc w:val="both"/>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p>
    <w:p w14:paraId="04C47922">
      <w:pPr>
        <w:jc w:val="cente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sectPr>
          <w:footerReference r:id="rId4" w:type="default"/>
          <w:pgSz w:w="11906" w:h="16838"/>
          <w:pgMar w:top="2098" w:right="1474" w:bottom="1984" w:left="1587" w:header="851" w:footer="992" w:gutter="0"/>
          <w:pgNumType w:fmt="decimal" w:start="1"/>
          <w:cols w:space="425" w:num="1"/>
          <w:docGrid w:type="lines" w:linePitch="312" w:charSpace="0"/>
        </w:sect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青山区“</w:t>
      </w:r>
      <w:r>
        <w:rPr>
          <w:rFonts w:hint="eastAsia" w:ascii="宋体" w:hAnsi="宋体" w:eastAsia="宋体" w:cs="宋体"/>
          <w:b w:val="0"/>
          <w:bCs w:val="0"/>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r>
        <w:rPr>
          <w:rFonts w:hint="eastAsia" w:ascii="宋体" w:hAnsi="宋体" w:eastAsia="宋体" w:cs="宋体"/>
          <w:b w:val="0"/>
          <w:bCs w:val="0"/>
          <w:color w:val="000000" w:themeColor="text1"/>
          <w:sz w:val="32"/>
          <w:szCs w:val="32"/>
          <w:lang w:val="en-US" w:eastAsia="zh-CN"/>
          <w14:textFill>
            <w14:solidFill>
              <w14:schemeClr w14:val="tx1"/>
            </w14:solidFill>
          </w14:textFill>
        </w:rPr>
        <w:t>29</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”一般触电安全事故调查组</w:t>
      </w:r>
    </w:p>
    <w:sdt>
      <w:sdtPr>
        <w:rPr>
          <w:rFonts w:ascii="宋体" w:hAnsi="宋体" w:eastAsia="宋体" w:cstheme="minorBidi"/>
          <w:kern w:val="2"/>
          <w:sz w:val="21"/>
          <w:szCs w:val="24"/>
          <w:lang w:val="en-US" w:eastAsia="zh-CN" w:bidi="ar-SA"/>
        </w:rPr>
        <w:id w:val="147479846"/>
        <w15:color w:val="DBDBDB"/>
        <w:docPartObj>
          <w:docPartGallery w:val="Table of Contents"/>
          <w:docPartUnique/>
        </w:docPartObj>
      </w:sdtPr>
      <w:sdtEndPr>
        <w:rPr>
          <w:rFonts w:ascii="宋体" w:hAnsi="宋体" w:eastAsia="宋体" w:cstheme="minorBidi"/>
          <w:b/>
          <w:kern w:val="2"/>
          <w:sz w:val="21"/>
          <w:szCs w:val="24"/>
          <w:lang w:val="en-US" w:eastAsia="zh-CN" w:bidi="ar-SA"/>
        </w:rPr>
      </w:sdtEndPr>
      <w:sdtContent>
        <w:p w14:paraId="46F5AEC9">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ascii="宋体" w:hAnsi="宋体" w:eastAsia="宋体" w:cs="宋体"/>
              <w:b/>
              <w:bCs/>
              <w:sz w:val="32"/>
              <w:szCs w:val="32"/>
            </w:rPr>
          </w:pPr>
          <w:r>
            <w:rPr>
              <w:rFonts w:hint="eastAsia" w:ascii="宋体" w:hAnsi="宋体" w:eastAsia="宋体" w:cs="宋体"/>
              <w:b/>
              <w:bCs/>
              <w:sz w:val="32"/>
              <w:szCs w:val="32"/>
            </w:rPr>
            <w:t>目</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rPr>
            <w:t>录</w:t>
          </w:r>
        </w:p>
        <w:p w14:paraId="4F4453CD">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fldChar w:fldCharType="begin"/>
          </w:r>
          <w:r>
            <w:instrText xml:space="preserve">TOC \o "1-2" \h \u </w:instrText>
          </w:r>
          <w:r>
            <w:fldChar w:fldCharType="separate"/>
          </w:r>
        </w:p>
        <w:p w14:paraId="18C39982">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_Toc331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一、事故基本情况</w:t>
          </w:r>
          <w:r>
            <w:rPr>
              <w:rFonts w:hint="eastAsia" w:ascii="宋体" w:hAnsi="宋体" w:eastAsia="宋体" w:cs="宋体"/>
              <w:kern w:val="2"/>
              <w:sz w:val="24"/>
              <w:szCs w:val="24"/>
              <w:lang w:val="en-US" w:eastAsia="zh-CN" w:bidi="ar-SA"/>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_Toc331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黑体" w:hAnsi="黑体" w:eastAsia="黑体" w:cs="黑体"/>
              <w:sz w:val="24"/>
              <w:szCs w:val="24"/>
            </w:rPr>
            <w:fldChar w:fldCharType="end"/>
          </w:r>
        </w:p>
        <w:p w14:paraId="08F1CC48">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_Toc27875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（一）事故发生单位及相关单位概况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_Toc27875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6977C12">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_Toc181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（二）事故发生单位安全管理情况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_Toc181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D48A602">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_Toc16667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（三）事故发生经过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_Toc16667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53B7824">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_Toc19783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（四）事故现场情况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_Toc19783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8C2FCDD">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_Toc15834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（五）人员伤亡和直接经济损失情况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_Toc15834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E3DB7BC">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_Toc30028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（六）其他情况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_Toc30028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E332F59">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fldChar w:fldCharType="begin"/>
          </w:r>
          <w:r>
            <w:rPr>
              <w:rFonts w:hint="eastAsia" w:ascii="黑体" w:hAnsi="黑体" w:eastAsia="黑体" w:cs="黑体"/>
              <w:sz w:val="24"/>
              <w:szCs w:val="24"/>
              <w:lang w:val="en-US" w:eastAsia="zh-CN"/>
            </w:rPr>
            <w:instrText xml:space="preserve"> HYPERLINK \l _Toc6695 </w:instrText>
          </w:r>
          <w:r>
            <w:rPr>
              <w:rFonts w:hint="eastAsia" w:ascii="黑体" w:hAnsi="黑体" w:eastAsia="黑体" w:cs="黑体"/>
              <w:sz w:val="24"/>
              <w:szCs w:val="24"/>
              <w:lang w:val="en-US" w:eastAsia="zh-CN"/>
            </w:rPr>
            <w:fldChar w:fldCharType="separate"/>
          </w:r>
          <w:r>
            <w:rPr>
              <w:rFonts w:hint="eastAsia" w:ascii="黑体" w:hAnsi="黑体" w:eastAsia="黑体" w:cs="黑体"/>
              <w:sz w:val="24"/>
              <w:szCs w:val="24"/>
              <w:lang w:val="en-US" w:eastAsia="zh-CN"/>
            </w:rPr>
            <w:t>二、事故应急处置及评估情况</w:t>
          </w:r>
          <w:r>
            <w:rPr>
              <w:rFonts w:hint="eastAsia" w:ascii="黑体" w:hAnsi="黑体" w:eastAsia="黑体" w:cs="黑体"/>
              <w:sz w:val="24"/>
              <w:szCs w:val="24"/>
              <w:lang w:val="en-US" w:eastAsia="zh-CN"/>
            </w:rPr>
            <w:tab/>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PAGEREF _Toc6695 \h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5</w:t>
          </w:r>
          <w:r>
            <w:rPr>
              <w:rFonts w:hint="eastAsia" w:ascii="宋体" w:hAnsi="宋体" w:eastAsia="宋体" w:cs="宋体"/>
              <w:sz w:val="24"/>
              <w:szCs w:val="24"/>
              <w:lang w:val="en-US" w:eastAsia="zh-CN"/>
            </w:rPr>
            <w:fldChar w:fldCharType="end"/>
          </w:r>
          <w:r>
            <w:rPr>
              <w:rFonts w:hint="eastAsia" w:ascii="黑体" w:hAnsi="黑体" w:eastAsia="黑体" w:cs="黑体"/>
              <w:sz w:val="24"/>
              <w:szCs w:val="24"/>
              <w:lang w:val="en-US" w:eastAsia="zh-CN"/>
            </w:rPr>
            <w:fldChar w:fldCharType="end"/>
          </w:r>
        </w:p>
        <w:p w14:paraId="33ACCB20">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_Toc21999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（一）事故信息接报及响应情况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_Toc21999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3A2B421">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_Toc16317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（二）事故现场应急处置情况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_Toc16317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6E30D05">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_Toc5718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（三）事故应急处置评估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_Toc5718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82D8631">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fldChar w:fldCharType="begin"/>
          </w:r>
          <w:r>
            <w:instrText xml:space="preserve"> HYPERLINK \l _Toc21550 </w:instrText>
          </w:r>
          <w:r>
            <w:fldChar w:fldCharType="separate"/>
          </w:r>
          <w:r>
            <w:rPr>
              <w:rFonts w:hint="eastAsia" w:ascii="黑体" w:hAnsi="黑体" w:eastAsia="黑体" w:cs="黑体"/>
              <w:sz w:val="24"/>
              <w:szCs w:val="24"/>
              <w:lang w:val="en-US" w:eastAsia="zh-CN"/>
            </w:rPr>
            <w:t>三、事故原因分析</w:t>
          </w:r>
          <w:r>
            <w:rPr>
              <w:rFonts w:hint="eastAsia" w:ascii="宋体" w:hAnsi="宋体" w:eastAsia="宋体" w:cs="宋体"/>
              <w:kern w:val="2"/>
              <w:sz w:val="24"/>
              <w:szCs w:val="24"/>
              <w:lang w:val="en-US" w:eastAsia="zh-CN" w:bidi="ar-SA"/>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_Toc21550 \h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5</w:t>
          </w:r>
          <w:r>
            <w:rPr>
              <w:rFonts w:hint="eastAsia" w:ascii="宋体" w:hAnsi="宋体" w:eastAsia="宋体" w:cs="宋体"/>
              <w:kern w:val="2"/>
              <w:sz w:val="24"/>
              <w:szCs w:val="24"/>
              <w:lang w:val="en-US" w:eastAsia="zh-CN" w:bidi="ar-SA"/>
            </w:rPr>
            <w:fldChar w:fldCharType="end"/>
          </w:r>
          <w:r>
            <w:fldChar w:fldCharType="end"/>
          </w:r>
        </w:p>
        <w:p w14:paraId="58B84ADB">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_Toc7336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（一）直接原因分析</w:t>
          </w:r>
          <w:r>
            <w:rPr>
              <w:rFonts w:hint="eastAsia" w:ascii="宋体" w:hAnsi="宋体" w:eastAsia="宋体" w:cs="宋体"/>
              <w:sz w:val="24"/>
              <w:szCs w:val="24"/>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_Toc7336 \h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5</w:t>
          </w:r>
          <w:r>
            <w:rPr>
              <w:rFonts w:hint="eastAsia" w:ascii="宋体" w:hAnsi="宋体" w:eastAsia="宋体" w:cs="宋体"/>
              <w:kern w:val="2"/>
              <w:sz w:val="24"/>
              <w:szCs w:val="24"/>
              <w:lang w:val="en-US" w:eastAsia="zh-CN" w:bidi="ar-SA"/>
            </w:rPr>
            <w:fldChar w:fldCharType="end"/>
          </w:r>
          <w:r>
            <w:rPr>
              <w:rFonts w:hint="eastAsia" w:ascii="宋体" w:hAnsi="宋体" w:eastAsia="宋体" w:cs="宋体"/>
              <w:sz w:val="24"/>
              <w:szCs w:val="24"/>
            </w:rPr>
            <w:fldChar w:fldCharType="end"/>
          </w:r>
        </w:p>
        <w:p w14:paraId="18F128F1">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_Toc10342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（二）事故相关检测和鉴定情况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_Toc10342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D6A902F">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_Toc21526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（三）间接原因分析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_Toc21526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E9ADCD1">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fldChar w:fldCharType="begin"/>
          </w:r>
          <w:r>
            <w:rPr>
              <w:rFonts w:hint="eastAsia" w:ascii="黑体" w:hAnsi="黑体" w:eastAsia="黑体" w:cs="黑体"/>
              <w:sz w:val="24"/>
              <w:szCs w:val="24"/>
              <w:lang w:val="en-US" w:eastAsia="zh-CN"/>
            </w:rPr>
            <w:instrText xml:space="preserve"> HYPERLINK \l _Toc10491 </w:instrText>
          </w:r>
          <w:r>
            <w:rPr>
              <w:rFonts w:hint="eastAsia" w:ascii="黑体" w:hAnsi="黑体" w:eastAsia="黑体" w:cs="黑体"/>
              <w:sz w:val="24"/>
              <w:szCs w:val="24"/>
              <w:lang w:val="en-US" w:eastAsia="zh-CN"/>
            </w:rPr>
            <w:fldChar w:fldCharType="separate"/>
          </w:r>
          <w:r>
            <w:rPr>
              <w:rFonts w:hint="eastAsia" w:ascii="黑体" w:hAnsi="黑体" w:eastAsia="黑体" w:cs="黑体"/>
              <w:sz w:val="24"/>
              <w:szCs w:val="24"/>
              <w:lang w:val="en-US" w:eastAsia="zh-CN"/>
            </w:rPr>
            <w:t>四、有关责任单位存在的问题</w:t>
          </w:r>
          <w:r>
            <w:rPr>
              <w:rFonts w:hint="eastAsia" w:ascii="黑体" w:hAnsi="黑体" w:eastAsia="黑体" w:cs="黑体"/>
              <w:sz w:val="24"/>
              <w:szCs w:val="24"/>
              <w:lang w:val="en-US" w:eastAsia="zh-CN"/>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_Toc10491 \h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7</w:t>
          </w:r>
          <w:r>
            <w:rPr>
              <w:rFonts w:hint="eastAsia" w:ascii="宋体" w:hAnsi="宋体" w:eastAsia="宋体" w:cs="宋体"/>
              <w:kern w:val="2"/>
              <w:sz w:val="24"/>
              <w:szCs w:val="24"/>
              <w:lang w:val="en-US" w:eastAsia="zh-CN" w:bidi="ar-SA"/>
            </w:rPr>
            <w:fldChar w:fldCharType="end"/>
          </w:r>
          <w:r>
            <w:rPr>
              <w:rFonts w:hint="eastAsia" w:ascii="黑体" w:hAnsi="黑体" w:eastAsia="黑体" w:cs="黑体"/>
              <w:sz w:val="24"/>
              <w:szCs w:val="24"/>
              <w:lang w:val="en-US" w:eastAsia="zh-CN"/>
            </w:rPr>
            <w:fldChar w:fldCharType="end"/>
          </w:r>
        </w:p>
        <w:p w14:paraId="04DA4DB7">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黑体" w:hAnsi="黑体" w:eastAsia="黑体" w:cs="黑体"/>
              <w:sz w:val="24"/>
              <w:szCs w:val="24"/>
              <w:lang w:val="en-US" w:eastAsia="zh-CN"/>
            </w:rPr>
            <w:fldChar w:fldCharType="begin"/>
          </w:r>
          <w:r>
            <w:rPr>
              <w:rFonts w:hint="eastAsia" w:ascii="黑体" w:hAnsi="黑体" w:eastAsia="黑体" w:cs="黑体"/>
              <w:sz w:val="24"/>
              <w:szCs w:val="24"/>
              <w:lang w:val="en-US" w:eastAsia="zh-CN"/>
            </w:rPr>
            <w:instrText xml:space="preserve"> HYPERLINK \l _Toc5217 </w:instrText>
          </w:r>
          <w:r>
            <w:rPr>
              <w:rFonts w:hint="eastAsia" w:ascii="黑体" w:hAnsi="黑体" w:eastAsia="黑体" w:cs="黑体"/>
              <w:sz w:val="24"/>
              <w:szCs w:val="24"/>
              <w:lang w:val="en-US" w:eastAsia="zh-CN"/>
            </w:rPr>
            <w:fldChar w:fldCharType="separate"/>
          </w:r>
          <w:r>
            <w:rPr>
              <w:rFonts w:hint="eastAsia" w:ascii="黑体" w:hAnsi="黑体" w:eastAsia="黑体" w:cs="黑体"/>
              <w:sz w:val="24"/>
              <w:szCs w:val="24"/>
              <w:lang w:val="en-US" w:eastAsia="zh-CN"/>
            </w:rPr>
            <w:t>五、对有关责任人员和责任单位的处理建议</w:t>
          </w:r>
          <w:r>
            <w:rPr>
              <w:rFonts w:hint="eastAsia" w:ascii="黑体" w:hAnsi="黑体" w:eastAsia="黑体" w:cs="黑体"/>
              <w:sz w:val="24"/>
              <w:szCs w:val="24"/>
              <w:lang w:val="en-US" w:eastAsia="zh-CN"/>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_Toc5217 \h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7</w:t>
          </w:r>
          <w:r>
            <w:rPr>
              <w:rFonts w:hint="eastAsia" w:ascii="宋体" w:hAnsi="宋体" w:eastAsia="宋体" w:cs="宋体"/>
              <w:kern w:val="2"/>
              <w:sz w:val="24"/>
              <w:szCs w:val="24"/>
              <w:lang w:val="en-US" w:eastAsia="zh-CN" w:bidi="ar-SA"/>
            </w:rPr>
            <w:fldChar w:fldCharType="end"/>
          </w:r>
          <w:r>
            <w:rPr>
              <w:rFonts w:hint="eastAsia" w:ascii="黑体" w:hAnsi="黑体" w:eastAsia="黑体" w:cs="黑体"/>
              <w:sz w:val="24"/>
              <w:szCs w:val="24"/>
              <w:lang w:val="en-US" w:eastAsia="zh-CN"/>
            </w:rPr>
            <w:fldChar w:fldCharType="end"/>
          </w:r>
        </w:p>
        <w:p w14:paraId="2A62803C">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_Toc32289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（一）因在事故中死亡免予追究责任人员</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_Toc32289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301E9DF">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_Toc15995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（二）对事故有关责任人员和责任单位的行政处罚建议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_Toc15995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BC170F1">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fldChar w:fldCharType="begin"/>
          </w:r>
          <w:r>
            <w:rPr>
              <w:rFonts w:hint="eastAsia" w:ascii="黑体" w:hAnsi="黑体" w:eastAsia="黑体" w:cs="黑体"/>
              <w:sz w:val="24"/>
              <w:szCs w:val="24"/>
              <w:lang w:val="en-US" w:eastAsia="zh-CN"/>
            </w:rPr>
            <w:instrText xml:space="preserve"> HYPERLINK \l _Toc16460 </w:instrText>
          </w:r>
          <w:r>
            <w:rPr>
              <w:rFonts w:hint="eastAsia" w:ascii="黑体" w:hAnsi="黑体" w:eastAsia="黑体" w:cs="黑体"/>
              <w:sz w:val="24"/>
              <w:szCs w:val="24"/>
              <w:lang w:val="en-US" w:eastAsia="zh-CN"/>
            </w:rPr>
            <w:fldChar w:fldCharType="separate"/>
          </w:r>
          <w:r>
            <w:rPr>
              <w:rFonts w:hint="eastAsia" w:ascii="黑体" w:hAnsi="黑体" w:eastAsia="黑体" w:cs="黑体"/>
              <w:sz w:val="24"/>
              <w:szCs w:val="24"/>
              <w:lang w:val="en-US" w:eastAsia="zh-CN"/>
            </w:rPr>
            <w:t>六、事故主要教训</w:t>
          </w:r>
          <w:r>
            <w:rPr>
              <w:rFonts w:hint="eastAsia" w:ascii="黑体" w:hAnsi="黑体" w:eastAsia="黑体" w:cs="黑体"/>
              <w:sz w:val="24"/>
              <w:szCs w:val="24"/>
              <w:lang w:val="en-US" w:eastAsia="zh-CN"/>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_Toc16460 \h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9</w:t>
          </w:r>
          <w:r>
            <w:rPr>
              <w:rFonts w:hint="eastAsia" w:ascii="宋体" w:hAnsi="宋体" w:eastAsia="宋体" w:cs="宋体"/>
              <w:kern w:val="2"/>
              <w:sz w:val="24"/>
              <w:szCs w:val="24"/>
              <w:lang w:val="en-US" w:eastAsia="zh-CN" w:bidi="ar-SA"/>
            </w:rPr>
            <w:fldChar w:fldCharType="end"/>
          </w:r>
          <w:r>
            <w:rPr>
              <w:rFonts w:hint="eastAsia" w:ascii="黑体" w:hAnsi="黑体" w:eastAsia="黑体" w:cs="黑体"/>
              <w:sz w:val="24"/>
              <w:szCs w:val="24"/>
              <w:lang w:val="en-US" w:eastAsia="zh-CN"/>
            </w:rPr>
            <w:fldChar w:fldCharType="end"/>
          </w:r>
        </w:p>
        <w:p w14:paraId="779BA05A">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fldChar w:fldCharType="begin"/>
          </w:r>
          <w:r>
            <w:rPr>
              <w:rFonts w:hint="eastAsia" w:ascii="黑体" w:hAnsi="黑体" w:eastAsia="黑体" w:cs="黑体"/>
              <w:sz w:val="24"/>
              <w:szCs w:val="24"/>
              <w:lang w:val="en-US" w:eastAsia="zh-CN"/>
            </w:rPr>
            <w:instrText xml:space="preserve"> HYPERLINK \l _Toc32557 </w:instrText>
          </w:r>
          <w:r>
            <w:rPr>
              <w:rFonts w:hint="eastAsia" w:ascii="黑体" w:hAnsi="黑体" w:eastAsia="黑体" w:cs="黑体"/>
              <w:sz w:val="24"/>
              <w:szCs w:val="24"/>
              <w:lang w:val="en-US" w:eastAsia="zh-CN"/>
            </w:rPr>
            <w:fldChar w:fldCharType="separate"/>
          </w:r>
          <w:r>
            <w:rPr>
              <w:rFonts w:hint="eastAsia" w:ascii="黑体" w:hAnsi="黑体" w:eastAsia="黑体" w:cs="黑体"/>
              <w:sz w:val="24"/>
              <w:szCs w:val="24"/>
              <w:lang w:val="en-US" w:eastAsia="zh-CN"/>
            </w:rPr>
            <w:t>七、事故整改和防范措施</w:t>
          </w:r>
          <w:r>
            <w:rPr>
              <w:rFonts w:hint="eastAsia" w:ascii="黑体" w:hAnsi="黑体" w:eastAsia="黑体" w:cs="黑体"/>
              <w:sz w:val="24"/>
              <w:szCs w:val="24"/>
              <w:lang w:val="en-US" w:eastAsia="zh-CN"/>
            </w:rPr>
            <w:tab/>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 PAGEREF _Toc32557 \h </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9</w:t>
          </w:r>
          <w:r>
            <w:rPr>
              <w:rFonts w:hint="eastAsia" w:ascii="宋体" w:hAnsi="宋体" w:eastAsia="宋体" w:cs="宋体"/>
              <w:kern w:val="2"/>
              <w:sz w:val="24"/>
              <w:szCs w:val="24"/>
              <w:lang w:val="en-US" w:eastAsia="zh-CN" w:bidi="ar-SA"/>
            </w:rPr>
            <w:fldChar w:fldCharType="end"/>
          </w:r>
          <w:r>
            <w:rPr>
              <w:rFonts w:hint="eastAsia" w:ascii="黑体" w:hAnsi="黑体" w:eastAsia="黑体" w:cs="黑体"/>
              <w:sz w:val="24"/>
              <w:szCs w:val="24"/>
              <w:lang w:val="en-US" w:eastAsia="zh-CN"/>
            </w:rPr>
            <w:fldChar w:fldCharType="end"/>
          </w:r>
        </w:p>
        <w:p w14:paraId="73A6215B">
          <w:pPr>
            <w:rPr>
              <w:rFonts w:ascii="宋体" w:hAnsi="宋体" w:eastAsia="宋体" w:cstheme="minorBidi"/>
              <w:b/>
              <w:kern w:val="2"/>
              <w:sz w:val="21"/>
              <w:szCs w:val="24"/>
              <w:lang w:val="en-US" w:eastAsia="zh-CN" w:bidi="ar-SA"/>
            </w:rPr>
          </w:pPr>
          <w:r>
            <w:fldChar w:fldCharType="end"/>
          </w:r>
        </w:p>
      </w:sdtContent>
    </w:sdt>
    <w:p w14:paraId="489D83A5">
      <w:pPr>
        <w:pStyle w:val="2"/>
      </w:pPr>
    </w:p>
    <w:p w14:paraId="62FE5430">
      <w:pPr>
        <w:bidi w:val="0"/>
      </w:pPr>
    </w:p>
    <w:p w14:paraId="050CDDA3">
      <w:pPr>
        <w:tabs>
          <w:tab w:val="left" w:pos="2246"/>
        </w:tabs>
        <w:bidi w:val="0"/>
        <w:jc w:val="left"/>
        <w:rPr>
          <w:rFonts w:hint="eastAsia"/>
          <w:lang w:eastAsia="zh-CN"/>
        </w:rPr>
      </w:pPr>
      <w:r>
        <w:rPr>
          <w:rFonts w:hint="eastAsia"/>
          <w:lang w:eastAsia="zh-CN"/>
        </w:rPr>
        <w:tab/>
      </w:r>
    </w:p>
    <w:p w14:paraId="47400961">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sectPr>
          <w:pgSz w:w="11906" w:h="16838"/>
          <w:pgMar w:top="2154" w:right="1304" w:bottom="1984" w:left="1587" w:header="851" w:footer="992" w:gutter="0"/>
          <w:pgNumType w:fmt="decimal"/>
          <w:cols w:space="425" w:num="1"/>
          <w:docGrid w:type="lines" w:linePitch="312" w:charSpace="0"/>
        </w:sectPr>
      </w:pPr>
      <w:bookmarkStart w:id="3" w:name="_Toc17515"/>
      <w:bookmarkStart w:id="4" w:name="_Toc443"/>
      <w:bookmarkStart w:id="5" w:name="_Toc23753"/>
      <w:bookmarkStart w:id="6" w:name="_Toc29949"/>
      <w:bookmarkStart w:id="7" w:name="_Toc6843"/>
      <w:bookmarkStart w:id="8" w:name="_Toc4015"/>
    </w:p>
    <w:p w14:paraId="7A021A3C">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新沟桥中百仓储超市有限公司江璟城社区分店“3·29”一般触电安全事故调查报告</w:t>
      </w:r>
      <w:bookmarkEnd w:id="3"/>
      <w:bookmarkEnd w:id="4"/>
    </w:p>
    <w:bookmarkEnd w:id="5"/>
    <w:bookmarkEnd w:id="6"/>
    <w:bookmarkEnd w:id="7"/>
    <w:bookmarkEnd w:id="8"/>
    <w:p w14:paraId="7671569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14:paraId="78611A9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宋体" w:hAnsi="宋体" w:eastAsia="宋体" w:cs="宋体"/>
          <w:color w:val="000000" w:themeColor="text1"/>
          <w:sz w:val="32"/>
          <w:szCs w:val="32"/>
          <w:lang w:val="en-US" w:eastAsia="zh-CN"/>
          <w14:textFill>
            <w14:solidFill>
              <w14:schemeClr w14:val="tx1"/>
            </w14:solidFill>
          </w14:textFill>
        </w:rPr>
        <w:t>2024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年</w:t>
      </w:r>
      <w:r>
        <w:rPr>
          <w:rFonts w:hint="eastAsia" w:ascii="宋体" w:hAnsi="宋体" w:eastAsia="宋体" w:cs="宋体"/>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月</w:t>
      </w:r>
      <w:r>
        <w:rPr>
          <w:rFonts w:hint="eastAsia" w:ascii="宋体" w:hAnsi="宋体" w:eastAsia="宋体" w:cs="宋体"/>
          <w:color w:val="000000" w:themeColor="text1"/>
          <w:sz w:val="32"/>
          <w:szCs w:val="32"/>
          <w:lang w:val="en-US" w:eastAsia="zh-CN"/>
          <w14:textFill>
            <w14:solidFill>
              <w14:schemeClr w14:val="tx1"/>
            </w14:solidFill>
          </w14:textFill>
        </w:rPr>
        <w:t>29</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日，中百仓储超市有限公司江璟城社区分店发生一起触电事故，造成</w:t>
      </w:r>
      <w:r>
        <w:rPr>
          <w:rFonts w:hint="eastAsia" w:ascii="宋体" w:hAnsi="宋体" w:eastAsia="宋体" w:cs="宋体"/>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人死亡，直接经济损失</w:t>
      </w:r>
      <w:r>
        <w:rPr>
          <w:rFonts w:hint="eastAsia" w:ascii="宋体" w:hAnsi="宋体" w:eastAsia="宋体" w:cs="宋体"/>
          <w:color w:val="000000" w:themeColor="text1"/>
          <w:sz w:val="32"/>
          <w:szCs w:val="32"/>
          <w:lang w:val="en-US" w:eastAsia="zh-CN"/>
          <w14:textFill>
            <w14:solidFill>
              <w14:schemeClr w14:val="tx1"/>
            </w14:solidFill>
          </w14:textFill>
        </w:rPr>
        <w:t>170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万余元。</w:t>
      </w:r>
    </w:p>
    <w:p w14:paraId="1C72692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事故发生后，区委区政府领导作出指示，要求妥善做好善后工作，迅速查明事故原因，深刻吸取事故教训，持续开展隐患排查治理，做好各项安全生产防范工作。</w:t>
      </w:r>
    </w:p>
    <w:p w14:paraId="0150F78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依据《中华人民共和国安全生产法》</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以下简称“安全生产法”</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《生产安全事故报告和调查处理条例》（国务院令第</w:t>
      </w:r>
      <w:r>
        <w:rPr>
          <w:rFonts w:hint="eastAsia" w:ascii="宋体" w:hAnsi="宋体" w:eastAsia="宋体" w:cs="宋体"/>
          <w:color w:val="000000" w:themeColor="text1"/>
          <w:sz w:val="32"/>
          <w:szCs w:val="32"/>
          <w:lang w:val="en-US" w:eastAsia="zh-CN"/>
          <w14:textFill>
            <w14:solidFill>
              <w14:schemeClr w14:val="tx1"/>
            </w14:solidFill>
          </w14:textFill>
        </w:rPr>
        <w:t>493</w:t>
      </w:r>
      <w:r>
        <w:rPr>
          <w:rFonts w:hint="eastAsia" w:ascii="仿宋_GB2312" w:hAnsi="仿宋_GB2312" w:eastAsia="仿宋_GB2312" w:cs="仿宋_GB2312"/>
          <w:color w:val="000000" w:themeColor="text1"/>
          <w:sz w:val="32"/>
          <w:szCs w:val="32"/>
          <w14:textFill>
            <w14:solidFill>
              <w14:schemeClr w14:val="tx1"/>
            </w14:solidFill>
          </w14:textFill>
        </w:rPr>
        <w:t>号）、《湖北省生产安全事故报告和调查处理办法》（省政府令第</w:t>
      </w:r>
      <w:r>
        <w:rPr>
          <w:rFonts w:hint="eastAsia" w:ascii="宋体" w:hAnsi="宋体" w:eastAsia="宋体" w:cs="宋体"/>
          <w:color w:val="000000" w:themeColor="text1"/>
          <w:sz w:val="32"/>
          <w:szCs w:val="32"/>
          <w:lang w:val="en-US" w:eastAsia="zh-CN"/>
          <w14:textFill>
            <w14:solidFill>
              <w14:schemeClr w14:val="tx1"/>
            </w14:solidFill>
          </w14:textFill>
        </w:rPr>
        <w:t>354</w:t>
      </w:r>
      <w:r>
        <w:rPr>
          <w:rFonts w:hint="eastAsia" w:ascii="仿宋_GB2312" w:hAnsi="仿宋_GB2312" w:eastAsia="仿宋_GB2312" w:cs="仿宋_GB2312"/>
          <w:color w:val="000000" w:themeColor="text1"/>
          <w:sz w:val="32"/>
          <w:szCs w:val="32"/>
          <w14:textFill>
            <w14:solidFill>
              <w14:schemeClr w14:val="tx1"/>
            </w14:solidFill>
          </w14:textFill>
        </w:rPr>
        <w:t>号）等有关法律法规规定，青山区人民政府成立由</w:t>
      </w:r>
      <w:r>
        <w:rPr>
          <w:rFonts w:hint="eastAsia" w:ascii="仿宋_GB2312" w:hAnsi="仿宋_GB2312" w:eastAsia="仿宋_GB2312" w:cs="仿宋_GB2312"/>
          <w:b w:val="0"/>
          <w:bCs/>
          <w:sz w:val="32"/>
          <w:szCs w:val="32"/>
        </w:rPr>
        <w:t>区</w:t>
      </w:r>
      <w:r>
        <w:rPr>
          <w:rFonts w:hint="eastAsia" w:ascii="仿宋_GB2312" w:hAnsi="仿宋_GB2312" w:eastAsia="仿宋_GB2312" w:cs="仿宋_GB2312"/>
          <w:b w:val="0"/>
          <w:bCs/>
          <w:sz w:val="32"/>
          <w:szCs w:val="32"/>
          <w:lang w:val="en-US" w:eastAsia="zh-CN"/>
        </w:rPr>
        <w:t>应急管理局</w:t>
      </w:r>
      <w:r>
        <w:rPr>
          <w:rFonts w:hint="eastAsia" w:ascii="仿宋_GB2312" w:hAnsi="仿宋_GB2312" w:eastAsia="仿宋_GB2312" w:cs="仿宋_GB2312"/>
          <w:b w:val="0"/>
          <w:bCs/>
          <w:sz w:val="32"/>
          <w:szCs w:val="32"/>
        </w:rPr>
        <w:t>、区公安分局、</w:t>
      </w:r>
      <w:r>
        <w:rPr>
          <w:rFonts w:hint="eastAsia" w:ascii="仿宋_GB2312" w:hAnsi="仿宋_GB2312" w:eastAsia="仿宋_GB2312" w:cs="仿宋_GB2312"/>
          <w:b w:val="0"/>
          <w:bCs/>
          <w:sz w:val="32"/>
          <w:szCs w:val="32"/>
          <w:lang w:val="en-US" w:eastAsia="zh-CN"/>
        </w:rPr>
        <w:t>区商务局、</w:t>
      </w:r>
      <w:r>
        <w:rPr>
          <w:rFonts w:hint="eastAsia" w:ascii="仿宋_GB2312" w:hAnsi="仿宋_GB2312" w:eastAsia="仿宋_GB2312" w:cs="仿宋_GB2312"/>
          <w:b w:val="0"/>
          <w:bCs/>
          <w:sz w:val="32"/>
          <w:szCs w:val="32"/>
        </w:rPr>
        <w:t>区总工会</w:t>
      </w:r>
      <w:r>
        <w:rPr>
          <w:rFonts w:hint="eastAsia" w:ascii="仿宋_GB2312" w:hAnsi="仿宋_GB2312" w:eastAsia="仿宋_GB2312" w:cs="仿宋_GB2312"/>
          <w:b w:val="0"/>
          <w:bCs/>
          <w:sz w:val="32"/>
          <w:szCs w:val="32"/>
          <w:lang w:eastAsia="zh-CN"/>
        </w:rPr>
        <w:t>、</w:t>
      </w:r>
      <w:r>
        <w:rPr>
          <w:rFonts w:hint="eastAsia" w:ascii="仿宋_GB2312" w:hAnsi="仿宋_GB2312" w:eastAsia="仿宋_GB2312" w:cs="仿宋_GB2312"/>
          <w:b w:val="0"/>
          <w:bCs/>
          <w:sz w:val="32"/>
          <w:szCs w:val="32"/>
          <w:lang w:val="en-US" w:eastAsia="zh-CN"/>
        </w:rPr>
        <w:t>新沟桥街道办事处</w:t>
      </w:r>
      <w:r>
        <w:rPr>
          <w:rFonts w:hint="eastAsia" w:ascii="仿宋_GB2312" w:hAnsi="仿宋_GB2312" w:eastAsia="仿宋_GB2312" w:cs="仿宋_GB2312"/>
          <w:color w:val="000000" w:themeColor="text1"/>
          <w:sz w:val="32"/>
          <w:szCs w:val="32"/>
          <w14:textFill>
            <w14:solidFill>
              <w14:schemeClr w14:val="tx1"/>
            </w14:solidFill>
          </w14:textFill>
        </w:rPr>
        <w:t>等</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单位组成的</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3·29</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一般触电事故</w:t>
      </w:r>
      <w:r>
        <w:rPr>
          <w:rFonts w:hint="eastAsia" w:ascii="仿宋_GB2312" w:hAnsi="仿宋_GB2312" w:eastAsia="仿宋_GB2312" w:cs="仿宋_GB2312"/>
          <w:color w:val="000000" w:themeColor="text1"/>
          <w:sz w:val="32"/>
          <w:szCs w:val="32"/>
          <w14:textFill>
            <w14:solidFill>
              <w14:schemeClr w14:val="tx1"/>
            </w14:solidFill>
          </w14:textFill>
        </w:rPr>
        <w:t>调查组</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以下简称事故调查组</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kern w:val="2"/>
          <w:sz w:val="32"/>
          <w:lang w:val="en-US" w:eastAsia="zh-CN" w:bidi="ar-SA"/>
          <w14:textFill>
            <w14:solidFill>
              <w14:schemeClr w14:val="tx1"/>
            </w14:solidFill>
          </w14:textFill>
        </w:rPr>
        <w:t>并邀请区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纪委监委、区检察院和</w:t>
      </w:r>
      <w:r>
        <w:rPr>
          <w:rFonts w:hint="eastAsia" w:ascii="仿宋_GB2312" w:hAnsi="仿宋_GB2312" w:eastAsia="仿宋_GB2312" w:cs="仿宋_GB2312"/>
          <w:b w:val="0"/>
          <w:bCs/>
          <w:sz w:val="32"/>
          <w:szCs w:val="32"/>
          <w:lang w:val="en-US" w:eastAsia="zh-CN"/>
        </w:rPr>
        <w:t>武汉经济技术开发区（汉南区）有关部门</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参加</w:t>
      </w:r>
      <w:r>
        <w:rPr>
          <w:rFonts w:hint="eastAsia" w:ascii="仿宋_GB2312" w:hAnsi="仿宋_GB2312" w:eastAsia="仿宋_GB2312" w:cs="仿宋_GB2312"/>
          <w:color w:val="000000" w:themeColor="text1"/>
          <w:kern w:val="2"/>
          <w:sz w:val="32"/>
          <w:lang w:val="en-US" w:eastAsia="zh-CN" w:bidi="ar-SA"/>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对事故展开调查。</w:t>
      </w:r>
    </w:p>
    <w:p w14:paraId="0974A9A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事故调查组按照“科学严谨、依法依规、实事求是、注重实效”和“四不放过”的原则，通过现场勘验、调查取证、人员询问和综合分析，查清了事故发生的</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主要</w:t>
      </w:r>
      <w:r>
        <w:rPr>
          <w:rFonts w:hint="eastAsia" w:ascii="仿宋_GB2312" w:hAnsi="仿宋_GB2312" w:eastAsia="仿宋_GB2312" w:cs="仿宋_GB2312"/>
          <w:color w:val="000000" w:themeColor="text1"/>
          <w:sz w:val="32"/>
          <w:szCs w:val="32"/>
          <w14:textFill>
            <w14:solidFill>
              <w14:schemeClr w14:val="tx1"/>
            </w14:solidFill>
          </w14:textFill>
        </w:rPr>
        <w:t>经过、原因、人员伤亡和财产损失情况，认定了事故的性质和事故责任，提出了对有关责任人员及责任单位的处理建议和事故防范措施建议。</w:t>
      </w:r>
    </w:p>
    <w:p w14:paraId="596BCDC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经调查认定，新沟桥中百仓储超市有限公司江璟城社区分店“</w:t>
      </w:r>
      <w:r>
        <w:rPr>
          <w:rFonts w:hint="eastAsia" w:ascii="宋体" w:hAnsi="宋体" w:eastAsia="宋体" w:cs="宋体"/>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宋体" w:hAnsi="宋体" w:eastAsia="宋体" w:cs="宋体"/>
          <w:color w:val="000000" w:themeColor="text1"/>
          <w:sz w:val="32"/>
          <w:szCs w:val="32"/>
          <w:lang w:val="en-US" w:eastAsia="zh-CN"/>
          <w14:textFill>
            <w14:solidFill>
              <w14:schemeClr w14:val="tx1"/>
            </w14:solidFill>
          </w14:textFill>
        </w:rPr>
        <w:t>29</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”一般触电安全事故是一起因从业人员无证违规作业而造成的一般生产安全责任事故。</w:t>
      </w:r>
    </w:p>
    <w:p w14:paraId="4E71832F">
      <w:pPr>
        <w:pStyle w:val="5"/>
        <w:keepNext w:val="0"/>
        <w:keepLines w:val="0"/>
        <w:pageBreakBefore w:val="0"/>
        <w:widowControl w:val="0"/>
        <w:kinsoku/>
        <w:wordWrap/>
        <w:overflowPunct/>
        <w:autoSpaceDE/>
        <w:autoSpaceDN/>
        <w:bidi w:val="0"/>
        <w:spacing w:line="560" w:lineRule="exact"/>
        <w:ind w:firstLine="640" w:firstLineChars="200"/>
        <w:textAlignment w:val="auto"/>
        <w:outlineLvl w:val="0"/>
        <w:rPr>
          <w:rFonts w:hint="eastAsia" w:ascii="黑体" w:hAnsi="黑体" w:eastAsia="黑体" w:cs="黑体"/>
          <w:sz w:val="32"/>
          <w:szCs w:val="32"/>
          <w:lang w:val="en-US" w:eastAsia="zh-CN"/>
        </w:rPr>
      </w:pPr>
      <w:bookmarkStart w:id="9" w:name="_Toc331"/>
      <w:r>
        <w:rPr>
          <w:rFonts w:hint="eastAsia" w:ascii="黑体" w:hAnsi="黑体" w:eastAsia="黑体" w:cs="黑体"/>
          <w:sz w:val="32"/>
          <w:szCs w:val="32"/>
          <w:lang w:val="en-US" w:eastAsia="zh-CN"/>
        </w:rPr>
        <w:t>一、事故基本情况</w:t>
      </w:r>
      <w:bookmarkEnd w:id="9"/>
    </w:p>
    <w:p w14:paraId="23B344D2">
      <w:pPr>
        <w:pStyle w:val="7"/>
        <w:keepNext w:val="0"/>
        <w:keepLines w:val="0"/>
        <w:pageBreakBefore w:val="0"/>
        <w:widowControl w:val="0"/>
        <w:kinsoku/>
        <w:wordWrap/>
        <w:overflowPunct/>
        <w:autoSpaceDE/>
        <w:autoSpaceDN/>
        <w:bidi w:val="0"/>
        <w:spacing w:line="560" w:lineRule="exact"/>
        <w:ind w:left="0" w:leftChars="0" w:firstLine="643" w:firstLineChars="200"/>
        <w:textAlignment w:val="auto"/>
        <w:outlineLvl w:val="1"/>
        <w:rPr>
          <w:rFonts w:hint="eastAsia" w:ascii="楷体_GB2312" w:hAnsi="楷体_GB2312" w:eastAsia="楷体_GB2312" w:cs="楷体_GB2312"/>
          <w:b/>
          <w:bCs/>
          <w:sz w:val="32"/>
          <w:szCs w:val="32"/>
          <w:lang w:val="en-US" w:eastAsia="zh-CN"/>
        </w:rPr>
      </w:pPr>
      <w:bookmarkStart w:id="10" w:name="_Toc27875"/>
      <w:r>
        <w:rPr>
          <w:rFonts w:hint="eastAsia" w:ascii="楷体_GB2312" w:hAnsi="楷体_GB2312" w:eastAsia="楷体_GB2312" w:cs="楷体_GB2312"/>
          <w:b/>
          <w:bCs/>
          <w:sz w:val="32"/>
          <w:szCs w:val="32"/>
          <w:lang w:val="en-US" w:eastAsia="zh-CN"/>
        </w:rPr>
        <w:t>（一）事故发生单位及相关单位概况</w:t>
      </w:r>
      <w:bookmarkEnd w:id="10"/>
    </w:p>
    <w:p w14:paraId="29300AEF">
      <w:pPr>
        <w:pStyle w:val="2"/>
        <w:keepNext w:val="0"/>
        <w:keepLines w:val="0"/>
        <w:pageBreakBefore w:val="0"/>
        <w:widowControl w:val="0"/>
        <w:numPr>
          <w:ilvl w:val="0"/>
          <w:numId w:val="0"/>
        </w:numPr>
        <w:kinsoku/>
        <w:wordWrap/>
        <w:overflowPunct/>
        <w:autoSpaceDE/>
        <w:autoSpaceDN/>
        <w:bidi w:val="0"/>
        <w:spacing w:line="560" w:lineRule="exact"/>
        <w:ind w:firstLine="643" w:firstLineChars="200"/>
        <w:jc w:val="both"/>
        <w:textAlignment w:val="auto"/>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1.武汉汉立制冷科技股份有限公司。</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统一信用代码：</w:t>
      </w:r>
      <w:r>
        <w:rPr>
          <w:rFonts w:hint="eastAsia" w:ascii="宋体" w:hAnsi="宋体" w:eastAsia="宋体" w:cs="宋体"/>
          <w:color w:val="000000" w:themeColor="text1"/>
          <w:kern w:val="2"/>
          <w:sz w:val="32"/>
          <w:szCs w:val="32"/>
          <w:u w:val="none"/>
          <w:lang w:val="en-US" w:eastAsia="zh-CN" w:bidi="ar-SA"/>
          <w14:textFill>
            <w14:solidFill>
              <w14:schemeClr w14:val="tx1"/>
            </w14:solidFill>
          </w14:textFill>
        </w:rPr>
        <w:t>91420106711908314</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R，类型为股份有限公司（非上市、自然人投资或控股），成立于</w:t>
      </w:r>
      <w:r>
        <w:rPr>
          <w:rFonts w:hint="eastAsia" w:ascii="宋体" w:hAnsi="宋体" w:eastAsia="宋体" w:cs="宋体"/>
          <w:color w:val="000000" w:themeColor="text1"/>
          <w:kern w:val="2"/>
          <w:sz w:val="32"/>
          <w:szCs w:val="32"/>
          <w:u w:val="none"/>
          <w:lang w:val="en-US" w:eastAsia="zh-CN" w:bidi="ar-SA"/>
          <w14:textFill>
            <w14:solidFill>
              <w14:schemeClr w14:val="tx1"/>
            </w14:solidFill>
          </w14:textFill>
        </w:rPr>
        <w:t>1998</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年</w:t>
      </w:r>
      <w:r>
        <w:rPr>
          <w:rFonts w:hint="eastAsia" w:eastAsia="宋体" w:cs="宋体"/>
          <w:color w:val="000000" w:themeColor="text1"/>
          <w:kern w:val="2"/>
          <w:sz w:val="32"/>
          <w:szCs w:val="32"/>
          <w:u w:val="none"/>
          <w:lang w:val="en-US" w:eastAsia="zh-CN" w:bidi="ar-SA"/>
          <w14:textFill>
            <w14:solidFill>
              <w14:schemeClr w14:val="tx1"/>
            </w14:solidFill>
          </w14:textFill>
        </w:rPr>
        <w:t>7</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月</w:t>
      </w:r>
      <w:r>
        <w:rPr>
          <w:rFonts w:hint="eastAsia" w:eastAsia="宋体" w:cs="宋体"/>
          <w:color w:val="000000" w:themeColor="text1"/>
          <w:kern w:val="2"/>
          <w:sz w:val="32"/>
          <w:szCs w:val="32"/>
          <w:u w:val="none"/>
          <w:lang w:val="en-US" w:eastAsia="zh-CN" w:bidi="ar-SA"/>
          <w14:textFill>
            <w14:solidFill>
              <w14:schemeClr w14:val="tx1"/>
            </w14:solidFill>
          </w14:textFill>
        </w:rPr>
        <w:t>8</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日，住所为武汉市汉南区纱帽街幸福园二路</w:t>
      </w:r>
      <w:r>
        <w:rPr>
          <w:rFonts w:hint="eastAsia" w:ascii="宋体" w:hAnsi="宋体" w:eastAsia="宋体" w:cs="宋体"/>
          <w:color w:val="000000" w:themeColor="text1"/>
          <w:kern w:val="2"/>
          <w:sz w:val="32"/>
          <w:szCs w:val="32"/>
          <w:u w:val="none"/>
          <w:lang w:val="en-US" w:eastAsia="zh-CN" w:bidi="ar-SA"/>
          <w14:textFill>
            <w14:solidFill>
              <w14:schemeClr w14:val="tx1"/>
            </w14:solidFill>
          </w14:textFill>
        </w:rPr>
        <w:t>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号，注册资本：壹仟贰佰万元整，</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经营</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范围：制冷、空调设备制造，制冷、空调设备销售，软件开发通用设备修理，通用设备制造（不含特种设备制造）等。</w:t>
      </w:r>
    </w:p>
    <w:p w14:paraId="72658ACE">
      <w:pPr>
        <w:pStyle w:val="2"/>
        <w:keepNext w:val="0"/>
        <w:keepLines w:val="0"/>
        <w:pageBreakBefore w:val="0"/>
        <w:widowControl w:val="0"/>
        <w:numPr>
          <w:ilvl w:val="0"/>
          <w:numId w:val="0"/>
        </w:numPr>
        <w:kinsoku/>
        <w:wordWrap/>
        <w:overflowPunct/>
        <w:autoSpaceDE/>
        <w:autoSpaceDN/>
        <w:bidi w:val="0"/>
        <w:spacing w:line="560" w:lineRule="exact"/>
        <w:ind w:firstLine="643" w:firstLineChars="200"/>
        <w:jc w:val="both"/>
        <w:textAlignment w:val="auto"/>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2.中百仓储超市有限公司江璟城社区分店。</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统一信用代码：</w:t>
      </w:r>
      <w:r>
        <w:rPr>
          <w:rFonts w:hint="eastAsia" w:ascii="宋体" w:hAnsi="宋体" w:eastAsia="宋体" w:cs="宋体"/>
          <w:color w:val="000000" w:themeColor="text1"/>
          <w:sz w:val="32"/>
          <w:szCs w:val="32"/>
          <w:lang w:val="en-US" w:eastAsia="zh-CN"/>
          <w14:textFill>
            <w14:solidFill>
              <w14:schemeClr w14:val="tx1"/>
            </w14:solidFill>
          </w14:textFill>
        </w:rPr>
        <w:t>91420107</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MA</w:t>
      </w:r>
      <w:r>
        <w:rPr>
          <w:rFonts w:hint="eastAsia" w:ascii="宋体" w:hAnsi="宋体" w:eastAsia="宋体" w:cs="宋体"/>
          <w:color w:val="000000" w:themeColor="text1"/>
          <w:sz w:val="32"/>
          <w:szCs w:val="32"/>
          <w:lang w:val="en-US" w:eastAsia="zh-CN"/>
          <w14:textFill>
            <w14:solidFill>
              <w14:schemeClr w14:val="tx1"/>
            </w14:solidFill>
          </w14:textFill>
        </w:rPr>
        <w:t>49</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L</w:t>
      </w:r>
      <w:r>
        <w:rPr>
          <w:rFonts w:hint="eastAsia" w:ascii="宋体" w:hAnsi="宋体" w:eastAsia="宋体" w:cs="宋体"/>
          <w:color w:val="000000" w:themeColor="text1"/>
          <w:sz w:val="32"/>
          <w:szCs w:val="32"/>
          <w:lang w:val="en-US" w:eastAsia="zh-CN"/>
          <w14:textFill>
            <w14:solidFill>
              <w14:schemeClr w14:val="tx1"/>
            </w14:solidFill>
          </w14:textFill>
        </w:rPr>
        <w:t>46</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X</w:t>
      </w:r>
      <w:r>
        <w:rPr>
          <w:rFonts w:hint="eastAsia" w:ascii="宋体" w:hAnsi="宋体" w:eastAsia="宋体" w:cs="宋体"/>
          <w:color w:val="000000" w:themeColor="text1"/>
          <w:sz w:val="32"/>
          <w:szCs w:val="32"/>
          <w:lang w:val="en-US" w:eastAsia="zh-CN"/>
          <w14:textFill>
            <w14:solidFill>
              <w14:schemeClr w14:val="tx1"/>
            </w14:solidFill>
          </w14:textFill>
        </w:rPr>
        <w:t>6</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E，类型为有限责任公司分公司（非自然人投资或控股的法人独资）</w:t>
      </w:r>
      <w:r>
        <w:rPr>
          <w:rFonts w:hint="eastAsia" w:ascii="宋体" w:hAnsi="宋体" w:eastAsia="宋体" w:cs="宋体"/>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成立于</w:t>
      </w:r>
      <w:r>
        <w:rPr>
          <w:rFonts w:hint="eastAsia" w:ascii="宋体" w:hAnsi="宋体" w:eastAsia="宋体" w:cs="宋体"/>
          <w:color w:val="000000" w:themeColor="text1"/>
          <w:sz w:val="32"/>
          <w:szCs w:val="32"/>
          <w:lang w:val="en-US" w:eastAsia="zh-CN"/>
          <w14:textFill>
            <w14:solidFill>
              <w14:schemeClr w14:val="tx1"/>
            </w14:solidFill>
          </w14:textFill>
        </w:rPr>
        <w:t>2020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年</w:t>
      </w:r>
      <w:r>
        <w:rPr>
          <w:rFonts w:hint="eastAsia" w:ascii="宋体" w:hAnsi="宋体" w:eastAsia="宋体" w:cs="宋体"/>
          <w:color w:val="000000" w:themeColor="text1"/>
          <w:sz w:val="32"/>
          <w:szCs w:val="32"/>
          <w:lang w:val="en-US" w:eastAsia="zh-CN"/>
          <w14:textFill>
            <w14:solidFill>
              <w14:schemeClr w14:val="tx1"/>
            </w14:solidFill>
          </w14:textFill>
        </w:rPr>
        <w:t>10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月</w:t>
      </w:r>
      <w:r>
        <w:rPr>
          <w:rFonts w:hint="eastAsia" w:ascii="宋体" w:hAnsi="宋体" w:eastAsia="宋体" w:cs="宋体"/>
          <w:color w:val="000000" w:themeColor="text1"/>
          <w:sz w:val="32"/>
          <w:szCs w:val="32"/>
          <w:lang w:val="en-US" w:eastAsia="zh-CN"/>
          <w14:textFill>
            <w14:solidFill>
              <w14:schemeClr w14:val="tx1"/>
            </w14:solidFill>
          </w14:textFill>
        </w:rPr>
        <w:t>20</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日，住所为武汉市青山区红钢城一江璟城商业街S</w:t>
      </w:r>
      <w:r>
        <w:rPr>
          <w:rFonts w:hint="eastAsia" w:ascii="宋体" w:hAnsi="宋体" w:eastAsia="宋体" w:cs="宋体"/>
          <w:color w:val="000000" w:themeColor="text1"/>
          <w:sz w:val="32"/>
          <w:szCs w:val="32"/>
          <w:lang w:val="en-US" w:eastAsia="zh-CN"/>
          <w14:textFill>
            <w14:solidFill>
              <w14:schemeClr w14:val="tx1"/>
            </w14:solidFill>
          </w14:textFill>
        </w:rPr>
        <w:t>2-1-19</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、S</w:t>
      </w:r>
      <w:r>
        <w:rPr>
          <w:rFonts w:hint="eastAsia" w:ascii="宋体" w:hAnsi="宋体" w:eastAsia="宋体" w:cs="宋体"/>
          <w:color w:val="000000" w:themeColor="text1"/>
          <w:sz w:val="32"/>
          <w:szCs w:val="32"/>
          <w:lang w:val="en-US" w:eastAsia="zh-CN"/>
          <w14:textFill>
            <w14:solidFill>
              <w14:schemeClr w14:val="tx1"/>
            </w14:solidFill>
          </w14:textFill>
        </w:rPr>
        <w:t>2-1-20</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、S</w:t>
      </w:r>
      <w:r>
        <w:rPr>
          <w:rFonts w:hint="eastAsia" w:ascii="宋体" w:hAnsi="宋体" w:eastAsia="宋体" w:cs="宋体"/>
          <w:color w:val="000000" w:themeColor="text1"/>
          <w:sz w:val="32"/>
          <w:szCs w:val="32"/>
          <w:lang w:val="en-US" w:eastAsia="zh-CN"/>
          <w14:textFill>
            <w14:solidFill>
              <w14:schemeClr w14:val="tx1"/>
            </w14:solidFill>
          </w14:textFill>
        </w:rPr>
        <w:t>2-1-21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、S</w:t>
      </w:r>
      <w:r>
        <w:rPr>
          <w:rFonts w:hint="eastAsia" w:ascii="宋体" w:hAnsi="宋体" w:eastAsia="宋体" w:cs="宋体"/>
          <w:color w:val="000000" w:themeColor="text1"/>
          <w:sz w:val="32"/>
          <w:szCs w:val="32"/>
          <w:lang w:val="en-US" w:eastAsia="zh-CN"/>
          <w14:textFill>
            <w14:solidFill>
              <w14:schemeClr w14:val="tx1"/>
            </w14:solidFill>
          </w14:textFill>
        </w:rPr>
        <w:t>2-1-22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、S</w:t>
      </w:r>
      <w:r>
        <w:rPr>
          <w:rFonts w:hint="eastAsia" w:ascii="宋体" w:hAnsi="宋体" w:eastAsia="宋体" w:cs="宋体"/>
          <w:color w:val="000000" w:themeColor="text1"/>
          <w:sz w:val="32"/>
          <w:szCs w:val="32"/>
          <w:lang w:val="en-US" w:eastAsia="zh-CN"/>
          <w14:textFill>
            <w14:solidFill>
              <w14:schemeClr w14:val="tx1"/>
            </w14:solidFill>
          </w14:textFill>
        </w:rPr>
        <w:t>2-1-23</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号商铺，经营范围：烟草制品零售；酒类经营；出版物零售等。</w:t>
      </w:r>
    </w:p>
    <w:p w14:paraId="413A92A8">
      <w:pPr>
        <w:pStyle w:val="7"/>
        <w:keepNext w:val="0"/>
        <w:keepLines w:val="0"/>
        <w:pageBreakBefore w:val="0"/>
        <w:widowControl w:val="0"/>
        <w:kinsoku/>
        <w:wordWrap/>
        <w:overflowPunct/>
        <w:autoSpaceDE/>
        <w:autoSpaceDN/>
        <w:bidi w:val="0"/>
        <w:spacing w:line="560" w:lineRule="exact"/>
        <w:ind w:left="0" w:leftChars="0" w:firstLine="643" w:firstLineChars="200"/>
        <w:textAlignment w:val="auto"/>
        <w:outlineLvl w:val="1"/>
        <w:rPr>
          <w:rFonts w:hint="eastAsia" w:ascii="楷体_GB2312" w:hAnsi="楷体_GB2312" w:eastAsia="楷体_GB2312" w:cs="楷体_GB2312"/>
          <w:b/>
          <w:bCs/>
          <w:sz w:val="32"/>
          <w:szCs w:val="32"/>
          <w:lang w:val="en-US" w:eastAsia="zh-CN"/>
        </w:rPr>
      </w:pPr>
      <w:bookmarkStart w:id="11" w:name="_Toc181"/>
      <w:r>
        <w:rPr>
          <w:rFonts w:hint="eastAsia" w:ascii="楷体_GB2312" w:hAnsi="楷体_GB2312" w:eastAsia="楷体_GB2312" w:cs="楷体_GB2312"/>
          <w:b/>
          <w:bCs/>
          <w:sz w:val="32"/>
          <w:szCs w:val="32"/>
          <w:lang w:val="en-US" w:eastAsia="zh-CN"/>
        </w:rPr>
        <w:t>（二）事故发生单位安全管理情况</w:t>
      </w:r>
      <w:bookmarkEnd w:id="11"/>
    </w:p>
    <w:p w14:paraId="377FB049">
      <w:pPr>
        <w:keepNext w:val="0"/>
        <w:keepLines w:val="0"/>
        <w:pageBreakBefore w:val="0"/>
        <w:widowControl w:val="0"/>
        <w:kinsoku/>
        <w:wordWrap/>
        <w:overflowPunct/>
        <w:autoSpaceDE/>
        <w:autoSpaceDN/>
        <w:bidi w:val="0"/>
        <w:spacing w:line="560" w:lineRule="exact"/>
        <w:ind w:firstLine="640" w:firstLineChars="200"/>
        <w:textAlignment w:val="auto"/>
        <w:rPr>
          <w:rFonts w:hint="default" w:ascii="仿宋_GB2312" w:hAnsi="仿宋_GB2312" w:eastAsia="仿宋_GB2312" w:cs="仿宋_GB2312"/>
          <w:color w:val="000000" w:themeColor="text1"/>
          <w:kern w:val="2"/>
          <w:sz w:val="32"/>
          <w:szCs w:val="32"/>
          <w:highlight w:val="yellow"/>
          <w:u w:val="none" w:color="auto"/>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武汉汉立制冷科技股份有限公司（以下简称“汉立制冷公司”）</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安排未取得特种作业证人员上岗作业。</w:t>
      </w:r>
    </w:p>
    <w:p w14:paraId="634BD0D0">
      <w:pPr>
        <w:pStyle w:val="7"/>
        <w:keepNext w:val="0"/>
        <w:keepLines w:val="0"/>
        <w:pageBreakBefore w:val="0"/>
        <w:widowControl w:val="0"/>
        <w:kinsoku/>
        <w:wordWrap/>
        <w:overflowPunct/>
        <w:autoSpaceDE/>
        <w:autoSpaceDN/>
        <w:bidi w:val="0"/>
        <w:spacing w:line="560" w:lineRule="exact"/>
        <w:ind w:left="0" w:leftChars="0" w:firstLine="643" w:firstLineChars="200"/>
        <w:textAlignment w:val="auto"/>
        <w:outlineLvl w:val="1"/>
        <w:rPr>
          <w:rFonts w:hint="eastAsia" w:ascii="楷体_GB2312" w:hAnsi="楷体_GB2312" w:eastAsia="楷体_GB2312" w:cs="楷体_GB2312"/>
          <w:b/>
          <w:bCs/>
          <w:sz w:val="32"/>
          <w:szCs w:val="32"/>
          <w:lang w:val="en-US" w:eastAsia="zh-CN"/>
        </w:rPr>
      </w:pPr>
      <w:bookmarkStart w:id="12" w:name="_Toc16667"/>
      <w:r>
        <w:rPr>
          <w:rFonts w:hint="eastAsia" w:ascii="楷体_GB2312" w:hAnsi="楷体_GB2312" w:eastAsia="楷体_GB2312" w:cs="楷体_GB2312"/>
          <w:b/>
          <w:bCs/>
          <w:sz w:val="32"/>
          <w:szCs w:val="32"/>
          <w:lang w:val="en-US" w:eastAsia="zh-CN"/>
        </w:rPr>
        <w:t>（三）事故发生经过</w:t>
      </w:r>
      <w:bookmarkEnd w:id="12"/>
    </w:p>
    <w:p w14:paraId="767D3804">
      <w:pPr>
        <w:keepNext w:val="0"/>
        <w:keepLines w:val="0"/>
        <w:pageBreakBefore w:val="0"/>
        <w:widowControl w:val="0"/>
        <w:kinsoku/>
        <w:wordWrap/>
        <w:overflowPunct/>
        <w:autoSpaceDE/>
        <w:autoSpaceDN/>
        <w:bidi w:val="0"/>
        <w:spacing w:line="560" w:lineRule="exact"/>
        <w:ind w:firstLine="640" w:firstLine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宋体" w:hAnsi="宋体" w:eastAsia="宋体" w:cs="宋体"/>
          <w:color w:val="000000" w:themeColor="text1"/>
          <w:sz w:val="32"/>
          <w:szCs w:val="32"/>
          <w:lang w:val="en-US" w:eastAsia="zh-CN"/>
          <w14:textFill>
            <w14:solidFill>
              <w14:schemeClr w14:val="tx1"/>
            </w14:solidFill>
          </w14:textFill>
        </w:rPr>
        <w:t>2024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年</w:t>
      </w:r>
      <w:r>
        <w:rPr>
          <w:rFonts w:hint="eastAsia" w:ascii="宋体" w:hAnsi="宋体" w:eastAsia="宋体" w:cs="宋体"/>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月</w:t>
      </w:r>
      <w:r>
        <w:rPr>
          <w:rFonts w:hint="eastAsia" w:ascii="宋体" w:hAnsi="宋体" w:eastAsia="宋体" w:cs="宋体"/>
          <w:color w:val="000000" w:themeColor="text1"/>
          <w:sz w:val="32"/>
          <w:szCs w:val="32"/>
          <w:lang w:val="en-US" w:eastAsia="zh-CN"/>
          <w14:textFill>
            <w14:solidFill>
              <w14:schemeClr w14:val="tx1"/>
            </w14:solidFill>
          </w14:textFill>
        </w:rPr>
        <w:t>29</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日下午</w:t>
      </w:r>
      <w:r>
        <w:rPr>
          <w:rFonts w:hint="eastAsia" w:ascii="宋体" w:hAnsi="宋体" w:eastAsia="宋体" w:cs="宋体"/>
          <w:color w:val="000000" w:themeColor="text1"/>
          <w:sz w:val="32"/>
          <w:szCs w:val="32"/>
          <w:lang w:val="en-US" w:eastAsia="zh-CN"/>
          <w14:textFill>
            <w14:solidFill>
              <w14:schemeClr w14:val="tx1"/>
            </w14:solidFill>
          </w14:textFill>
        </w:rPr>
        <w:t>14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时</w:t>
      </w:r>
      <w:r>
        <w:rPr>
          <w:rFonts w:hint="eastAsia" w:ascii="宋体" w:hAnsi="宋体" w:eastAsia="宋体" w:cs="宋体"/>
          <w:color w:val="000000" w:themeColor="text1"/>
          <w:sz w:val="32"/>
          <w:szCs w:val="32"/>
          <w:lang w:val="en-US" w:eastAsia="zh-CN"/>
          <w14:textFill>
            <w14:solidFill>
              <w14:schemeClr w14:val="tx1"/>
            </w14:solidFill>
          </w14:textFill>
        </w:rPr>
        <w:t>01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分许，中百超市江璟城店店长叶某因店内酸奶冷柜温度异常，向汉立制冷公司进行电话报修。</w:t>
      </w:r>
      <w:r>
        <w:rPr>
          <w:rFonts w:hint="eastAsia" w:ascii="宋体" w:hAnsi="宋体" w:eastAsia="宋体" w:cs="宋体"/>
          <w:color w:val="000000" w:themeColor="text1"/>
          <w:sz w:val="32"/>
          <w:szCs w:val="32"/>
          <w:lang w:val="en-US" w:eastAsia="zh-CN"/>
          <w14:textFill>
            <w14:solidFill>
              <w14:schemeClr w14:val="tx1"/>
            </w14:solidFill>
          </w14:textFill>
        </w:rPr>
        <w:t>15</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时许，汉立制冷公司维修人员伍某波根据公司维修主管徐某权安排到达中百超市江璟城店，确认冷柜室外机位置后开展工作。</w:t>
      </w:r>
      <w:r>
        <w:rPr>
          <w:rFonts w:hint="eastAsia" w:ascii="宋体" w:hAnsi="宋体" w:eastAsia="宋体" w:cs="宋体"/>
          <w:color w:val="000000" w:themeColor="text1"/>
          <w:sz w:val="32"/>
          <w:szCs w:val="32"/>
          <w:lang w:val="en-US" w:eastAsia="zh-CN"/>
          <w14:textFill>
            <w14:solidFill>
              <w14:schemeClr w14:val="tx1"/>
            </w14:solidFill>
          </w14:textFill>
        </w:rPr>
        <w:t>15</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时</w:t>
      </w:r>
      <w:r>
        <w:rPr>
          <w:rFonts w:hint="eastAsia" w:ascii="宋体" w:hAnsi="宋体" w:eastAsia="宋体" w:cs="宋体"/>
          <w:color w:val="000000" w:themeColor="text1"/>
          <w:sz w:val="32"/>
          <w:szCs w:val="32"/>
          <w:lang w:val="en-US" w:eastAsia="zh-CN"/>
          <w14:textFill>
            <w14:solidFill>
              <w14:schemeClr w14:val="tx1"/>
            </w14:solidFill>
          </w14:textFill>
        </w:rPr>
        <w:t>45</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分许，伍某波最后一次通过梯子爬上店门上方玻璃雨棚，进入冷柜外机集中放置隔断空间进行机器故障确认。</w:t>
      </w:r>
      <w:r>
        <w:rPr>
          <w:rFonts w:hint="eastAsia" w:ascii="宋体" w:hAnsi="宋体" w:eastAsia="宋体" w:cs="宋体"/>
          <w:color w:val="000000" w:themeColor="text1"/>
          <w:sz w:val="32"/>
          <w:szCs w:val="32"/>
          <w:lang w:val="en-US" w:eastAsia="zh-CN"/>
          <w14:textFill>
            <w14:solidFill>
              <w14:schemeClr w14:val="tx1"/>
            </w14:solidFill>
          </w14:textFill>
        </w:rPr>
        <w:t>20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时</w:t>
      </w:r>
      <w:r>
        <w:rPr>
          <w:rFonts w:hint="eastAsia" w:ascii="宋体" w:hAnsi="宋体" w:eastAsia="宋体" w:cs="宋体"/>
          <w:color w:val="000000" w:themeColor="text1"/>
          <w:sz w:val="32"/>
          <w:szCs w:val="32"/>
          <w:lang w:val="en-US" w:eastAsia="zh-CN"/>
          <w14:textFill>
            <w14:solidFill>
              <w14:schemeClr w14:val="tx1"/>
            </w14:solidFill>
          </w14:textFill>
        </w:rPr>
        <w:t>47</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分许，中百超市江璟城店店员杨某霞发现伍某波侧卧在冷柜外机集中放置处隔断空间，经呼救无意识。</w:t>
      </w:r>
    </w:p>
    <w:p w14:paraId="6CA7B62D">
      <w:pPr>
        <w:pStyle w:val="7"/>
        <w:keepNext w:val="0"/>
        <w:keepLines w:val="0"/>
        <w:pageBreakBefore w:val="0"/>
        <w:widowControl w:val="0"/>
        <w:kinsoku/>
        <w:wordWrap/>
        <w:overflowPunct/>
        <w:autoSpaceDE/>
        <w:autoSpaceDN/>
        <w:bidi w:val="0"/>
        <w:spacing w:line="560" w:lineRule="exact"/>
        <w:ind w:left="0" w:leftChars="0" w:firstLine="643" w:firstLineChars="200"/>
        <w:textAlignment w:val="auto"/>
        <w:outlineLvl w:val="1"/>
        <w:rPr>
          <w:rFonts w:hint="eastAsia" w:ascii="楷体_GB2312" w:hAnsi="楷体_GB2312" w:eastAsia="楷体_GB2312" w:cs="楷体_GB2312"/>
          <w:b/>
          <w:bCs/>
          <w:sz w:val="32"/>
          <w:szCs w:val="32"/>
          <w:lang w:val="en-US" w:eastAsia="zh-CN"/>
        </w:rPr>
      </w:pPr>
      <w:bookmarkStart w:id="13" w:name="_Toc19783"/>
      <w:r>
        <w:rPr>
          <w:rFonts w:hint="eastAsia" w:ascii="楷体_GB2312" w:hAnsi="楷体_GB2312" w:eastAsia="楷体_GB2312" w:cs="楷体_GB2312"/>
          <w:b/>
          <w:bCs/>
          <w:sz w:val="32"/>
          <w:szCs w:val="32"/>
          <w:lang w:val="en-US" w:eastAsia="zh-CN"/>
        </w:rPr>
        <w:t>（四）事故现场情况</w:t>
      </w:r>
      <w:bookmarkEnd w:id="13"/>
    </w:p>
    <w:p w14:paraId="448E6459">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default" w:ascii="楷体_GB2312" w:hAnsi="楷体_GB2312" w:eastAsia="楷体_GB2312" w:cs="楷体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本次事故地点为中百超市江璟城店冷柜外机维修作业区（图</w:t>
      </w:r>
      <w:r>
        <w:rPr>
          <w:rFonts w:hint="eastAsia" w:ascii="宋体" w:hAnsi="宋体" w:eastAsia="宋体" w:cs="宋体"/>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），触电位置为冷柜外机侧边旁（图</w:t>
      </w:r>
      <w:r>
        <w:rPr>
          <w:rFonts w:hint="eastAsia" w:ascii="宋体" w:hAnsi="宋体" w:eastAsia="宋体" w:cs="宋体"/>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），冷柜外机电气控制部分外壳（图</w:t>
      </w:r>
      <w:r>
        <w:rPr>
          <w:rFonts w:hint="eastAsia" w:ascii="宋体" w:hAnsi="宋体" w:eastAsia="宋体" w:cs="宋体"/>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）已被拆开，压差开关带电部分裸露（图</w:t>
      </w:r>
      <w:r>
        <w:rPr>
          <w:rFonts w:hint="eastAsia" w:ascii="宋体" w:hAnsi="宋体" w:eastAsia="宋体" w:cs="宋体"/>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p>
    <w:p w14:paraId="3AA91410">
      <w:pPr>
        <w:keepNext w:val="0"/>
        <w:keepLines w:val="0"/>
        <w:pageBreakBefore w:val="0"/>
        <w:widowControl w:val="0"/>
        <w:kinsoku/>
        <w:wordWrap/>
        <w:overflowPunct/>
        <w:autoSpaceDE/>
        <w:autoSpaceDN/>
        <w:bidi w:val="0"/>
        <w:spacing w:line="560" w:lineRule="exact"/>
        <w:jc w:val="left"/>
        <w:textAlignment w:val="auto"/>
        <w:rPr>
          <w:rFonts w:hint="eastAsia" w:ascii="宋体" w:hAnsi="宋体" w:eastAsia="宋体" w:cs="宋体"/>
          <w:color w:val="000000" w:themeColor="text1"/>
          <w:kern w:val="2"/>
          <w:sz w:val="28"/>
          <w:szCs w:val="28"/>
          <w:u w:val="none" w:color="auto"/>
          <w:lang w:val="en-US" w:eastAsia="zh-CN" w:bidi="ar-SA"/>
          <w14:textFill>
            <w14:solidFill>
              <w14:schemeClr w14:val="tx1"/>
            </w14:solidFill>
          </w14:textFill>
        </w:rPr>
      </w:pPr>
      <w:r>
        <w:rPr>
          <w:sz w:val="32"/>
          <w:szCs w:val="32"/>
        </w:rPr>
        <w:drawing>
          <wp:anchor distT="0" distB="0" distL="114300" distR="114300" simplePos="0" relativeHeight="251660288" behindDoc="0" locked="0" layoutInCell="1" allowOverlap="1">
            <wp:simplePos x="0" y="0"/>
            <wp:positionH relativeFrom="column">
              <wp:posOffset>-26670</wp:posOffset>
            </wp:positionH>
            <wp:positionV relativeFrom="paragraph">
              <wp:posOffset>193040</wp:posOffset>
            </wp:positionV>
            <wp:extent cx="2700020" cy="1963420"/>
            <wp:effectExtent l="0" t="0" r="5080" b="17780"/>
            <wp:wrapTopAndBottom/>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2700020" cy="1963420"/>
                    </a:xfrm>
                    <a:prstGeom prst="rect">
                      <a:avLst/>
                    </a:prstGeom>
                    <a:noFill/>
                    <a:ln>
                      <a:noFill/>
                    </a:ln>
                  </pic:spPr>
                </pic:pic>
              </a:graphicData>
            </a:graphic>
          </wp:anchor>
        </w:drawing>
      </w:r>
      <w:r>
        <w:rPr>
          <w:sz w:val="32"/>
          <w:szCs w:val="32"/>
        </w:rPr>
        <w:drawing>
          <wp:anchor distT="0" distB="0" distL="114300" distR="114300" simplePos="0" relativeHeight="251659264" behindDoc="0" locked="0" layoutInCell="1" allowOverlap="1">
            <wp:simplePos x="0" y="0"/>
            <wp:positionH relativeFrom="column">
              <wp:posOffset>2891790</wp:posOffset>
            </wp:positionH>
            <wp:positionV relativeFrom="paragraph">
              <wp:posOffset>193675</wp:posOffset>
            </wp:positionV>
            <wp:extent cx="2859405" cy="1986915"/>
            <wp:effectExtent l="0" t="0" r="17145" b="13335"/>
            <wp:wrapTopAndBottom/>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2859405" cy="1986915"/>
                    </a:xfrm>
                    <a:prstGeom prst="rect">
                      <a:avLst/>
                    </a:prstGeom>
                    <a:noFill/>
                    <a:ln>
                      <a:noFill/>
                    </a:ln>
                  </pic:spPr>
                </pic:pic>
              </a:graphicData>
            </a:graphic>
          </wp:anchor>
        </w:drawing>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图1（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冷柜外机维修作业区</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28"/>
          <w:szCs w:val="28"/>
          <w:u w:val="none" w:color="auto"/>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图2（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触电位置</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w:t>
      </w:r>
    </w:p>
    <w:p w14:paraId="4086A31C">
      <w:pPr>
        <w:pStyle w:val="7"/>
        <w:keepNext w:val="0"/>
        <w:keepLines w:val="0"/>
        <w:pageBreakBefore w:val="0"/>
        <w:widowControl w:val="0"/>
        <w:kinsoku/>
        <w:wordWrap/>
        <w:overflowPunct/>
        <w:autoSpaceDE/>
        <w:autoSpaceDN/>
        <w:bidi w:val="0"/>
        <w:spacing w:line="560" w:lineRule="exact"/>
        <w:ind w:left="0" w:leftChars="0" w:firstLine="643" w:firstLineChars="200"/>
        <w:textAlignment w:val="auto"/>
        <w:outlineLvl w:val="1"/>
        <w:rPr>
          <w:rFonts w:hint="eastAsia" w:ascii="楷体_GB2312" w:hAnsi="楷体_GB2312" w:eastAsia="楷体_GB2312" w:cs="楷体_GB2312"/>
          <w:b/>
          <w:bCs/>
          <w:sz w:val="32"/>
          <w:szCs w:val="32"/>
          <w:lang w:val="en-US" w:eastAsia="zh-CN"/>
        </w:rPr>
      </w:pPr>
    </w:p>
    <w:p w14:paraId="6E8D2029">
      <w:pPr>
        <w:keepNext w:val="0"/>
        <w:keepLines w:val="0"/>
        <w:pageBreakBefore w:val="0"/>
        <w:widowControl w:val="0"/>
        <w:kinsoku/>
        <w:wordWrap/>
        <w:overflowPunct/>
        <w:autoSpaceDE/>
        <w:autoSpaceDN/>
        <w:bidi w:val="0"/>
        <w:spacing w:line="560" w:lineRule="exact"/>
        <w:textAlignment w:val="auto"/>
        <w:rPr>
          <w:rFonts w:hint="default"/>
          <w:lang w:val="en-US" w:eastAsia="zh-CN"/>
        </w:rPr>
      </w:pPr>
      <w:r>
        <w:rPr>
          <w:rFonts w:hint="eastAsia" w:ascii="宋体" w:hAnsi="宋体" w:eastAsia="宋体" w:cs="宋体"/>
          <w:color w:val="000000" w:themeColor="text1"/>
          <w:kern w:val="2"/>
          <w:sz w:val="28"/>
          <w:szCs w:val="28"/>
          <w:u w:val="none" w:color="auto"/>
          <w:lang w:val="en-US" w:eastAsia="zh-CN" w:bidi="ar-SA"/>
          <w14:textFill>
            <w14:solidFill>
              <w14:schemeClr w14:val="tx1"/>
            </w14:solidFill>
          </w14:textFill>
        </w:rPr>
        <w:drawing>
          <wp:anchor distT="0" distB="0" distL="114300" distR="114300" simplePos="0" relativeHeight="251661312" behindDoc="0" locked="0" layoutInCell="1" allowOverlap="1">
            <wp:simplePos x="0" y="0"/>
            <wp:positionH relativeFrom="column">
              <wp:posOffset>3068955</wp:posOffset>
            </wp:positionH>
            <wp:positionV relativeFrom="page">
              <wp:posOffset>1442720</wp:posOffset>
            </wp:positionV>
            <wp:extent cx="2357120" cy="1998980"/>
            <wp:effectExtent l="0" t="0" r="5080" b="1270"/>
            <wp:wrapSquare wrapText="bothSides"/>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2357120" cy="1998980"/>
                    </a:xfrm>
                    <a:prstGeom prst="rect">
                      <a:avLst/>
                    </a:prstGeom>
                    <a:noFill/>
                    <a:ln>
                      <a:noFill/>
                    </a:ln>
                  </pic:spPr>
                </pic:pic>
              </a:graphicData>
            </a:graphic>
          </wp:anchor>
        </w:drawing>
      </w:r>
      <w:r>
        <w:rPr>
          <w:rFonts w:hint="eastAsia" w:ascii="宋体" w:hAnsi="宋体" w:eastAsia="宋体" w:cs="宋体"/>
          <w:color w:val="000000" w:themeColor="text1"/>
          <w:kern w:val="2"/>
          <w:sz w:val="28"/>
          <w:szCs w:val="28"/>
          <w:u w:val="none" w:color="auto"/>
          <w:lang w:val="en-US" w:eastAsia="zh-CN" w:bidi="ar-SA"/>
          <w14:textFill>
            <w14:solidFill>
              <w14:schemeClr w14:val="tx1"/>
            </w14:solidFill>
          </w14:textFill>
        </w:rPr>
        <w:drawing>
          <wp:anchor distT="0" distB="0" distL="114300" distR="114300" simplePos="0" relativeHeight="251662336" behindDoc="0" locked="0" layoutInCell="1" allowOverlap="1">
            <wp:simplePos x="0" y="0"/>
            <wp:positionH relativeFrom="column">
              <wp:posOffset>94615</wp:posOffset>
            </wp:positionH>
            <wp:positionV relativeFrom="paragraph">
              <wp:posOffset>76200</wp:posOffset>
            </wp:positionV>
            <wp:extent cx="2582545" cy="2056765"/>
            <wp:effectExtent l="0" t="0" r="8255" b="635"/>
            <wp:wrapTopAndBottom/>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2582545" cy="2056765"/>
                    </a:xfrm>
                    <a:prstGeom prst="rect">
                      <a:avLst/>
                    </a:prstGeom>
                    <a:noFill/>
                    <a:ln>
                      <a:noFill/>
                    </a:ln>
                  </pic:spPr>
                </pic:pic>
              </a:graphicData>
            </a:graphic>
          </wp:anchor>
        </w:drawing>
      </w:r>
      <w:r>
        <w:rPr>
          <w:rFonts w:hint="eastAsia" w:ascii="宋体" w:hAnsi="宋体" w:eastAsia="宋体" w:cs="宋体"/>
          <w:color w:val="000000" w:themeColor="text1"/>
          <w:kern w:val="2"/>
          <w:sz w:val="28"/>
          <w:szCs w:val="28"/>
          <w:u w:val="none" w:color="auto"/>
          <w:lang w:val="en-US" w:eastAsia="zh-CN" w:bidi="ar-SA"/>
          <w14:textFill>
            <w14:solidFill>
              <w14:schemeClr w14:val="tx1"/>
            </w14:solidFill>
          </w14:textFill>
        </w:rPr>
        <w:t xml:space="preserve">   </w:t>
      </w:r>
      <w:r>
        <w:rPr>
          <w:rFonts w:hint="eastAsia" w:ascii="仿宋_GB2312" w:hAnsi="仿宋_GB2312" w:eastAsia="仿宋_GB2312" w:cs="仿宋_GB2312"/>
          <w:sz w:val="32"/>
          <w:szCs w:val="32"/>
          <w:lang w:val="en-US" w:eastAsia="zh-CN"/>
        </w:rPr>
        <w:t>图3（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电气控制部分外壳</w:t>
      </w:r>
      <w:r>
        <w:rPr>
          <w:rFonts w:hint="eastAsia" w:ascii="仿宋_GB2312" w:hAnsi="仿宋_GB2312" w:eastAsia="仿宋_GB2312" w:cs="仿宋_GB2312"/>
          <w:sz w:val="32"/>
          <w:szCs w:val="32"/>
          <w:lang w:val="en-US" w:eastAsia="zh-CN"/>
        </w:rPr>
        <w:t>）    图4（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压差开关带电部分裸露</w:t>
      </w:r>
      <w:r>
        <w:rPr>
          <w:rFonts w:hint="eastAsia" w:ascii="仿宋_GB2312" w:hAnsi="仿宋_GB2312" w:eastAsia="仿宋_GB2312" w:cs="仿宋_GB2312"/>
          <w:sz w:val="32"/>
          <w:szCs w:val="32"/>
          <w:lang w:val="en-US" w:eastAsia="zh-CN"/>
        </w:rPr>
        <w:t>）</w:t>
      </w:r>
    </w:p>
    <w:p w14:paraId="0EBDDD28">
      <w:pPr>
        <w:pStyle w:val="7"/>
        <w:keepNext w:val="0"/>
        <w:keepLines w:val="0"/>
        <w:pageBreakBefore w:val="0"/>
        <w:widowControl w:val="0"/>
        <w:kinsoku/>
        <w:wordWrap/>
        <w:overflowPunct/>
        <w:autoSpaceDE/>
        <w:autoSpaceDN/>
        <w:bidi w:val="0"/>
        <w:spacing w:line="560" w:lineRule="exact"/>
        <w:ind w:left="0" w:leftChars="0" w:firstLine="643" w:firstLineChars="200"/>
        <w:textAlignment w:val="auto"/>
        <w:outlineLvl w:val="1"/>
        <w:rPr>
          <w:rFonts w:hint="eastAsia" w:ascii="楷体_GB2312" w:hAnsi="楷体_GB2312" w:eastAsia="楷体_GB2312" w:cs="楷体_GB2312"/>
          <w:b/>
          <w:bCs/>
          <w:sz w:val="32"/>
          <w:szCs w:val="32"/>
          <w:lang w:val="en-US" w:eastAsia="zh-CN"/>
        </w:rPr>
      </w:pPr>
      <w:bookmarkStart w:id="14" w:name="_Toc15834"/>
      <w:r>
        <w:rPr>
          <w:rFonts w:hint="eastAsia" w:ascii="楷体_GB2312" w:hAnsi="楷体_GB2312" w:eastAsia="楷体_GB2312" w:cs="楷体_GB2312"/>
          <w:b/>
          <w:bCs/>
          <w:sz w:val="32"/>
          <w:szCs w:val="32"/>
          <w:lang w:val="en-US" w:eastAsia="zh-CN"/>
        </w:rPr>
        <w:t>（五）人员伤亡和直接经济损失情况</w:t>
      </w:r>
      <w:bookmarkEnd w:id="14"/>
    </w:p>
    <w:p w14:paraId="5FD6F230">
      <w:pPr>
        <w:keepNext w:val="0"/>
        <w:keepLines w:val="0"/>
        <w:pageBreakBefore w:val="0"/>
        <w:widowControl w:val="0"/>
        <w:kinsoku/>
        <w:wordWrap/>
        <w:overflowPunct/>
        <w:autoSpaceDE/>
        <w:autoSpaceDN/>
        <w:bidi w:val="0"/>
        <w:spacing w:line="560" w:lineRule="exact"/>
        <w:ind w:firstLine="643"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1.人员伤亡情况。</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事故造成</w:t>
      </w:r>
      <w:r>
        <w:rPr>
          <w:rFonts w:hint="eastAsia" w:ascii="宋体" w:hAnsi="宋体" w:eastAsia="宋体" w:cs="宋体"/>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人死亡：伍某波，男，为汉立制冷公司员工，岗位为普工，负责简易维修，协助部门维保人员做好日常的维保、维修工作。</w:t>
      </w:r>
    </w:p>
    <w:p w14:paraId="1D545127">
      <w:pPr>
        <w:keepNext w:val="0"/>
        <w:keepLines w:val="0"/>
        <w:pageBreakBefore w:val="0"/>
        <w:widowControl w:val="0"/>
        <w:kinsoku/>
        <w:wordWrap/>
        <w:overflowPunct/>
        <w:autoSpaceDE/>
        <w:autoSpaceDN/>
        <w:bidi w:val="0"/>
        <w:spacing w:line="560" w:lineRule="exact"/>
        <w:ind w:firstLine="643"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2.事故损失情况。</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事故造成直接经济损失为</w:t>
      </w:r>
      <w:r>
        <w:rPr>
          <w:rFonts w:hint="eastAsia" w:ascii="宋体" w:hAnsi="宋体" w:eastAsia="宋体" w:cs="宋体"/>
          <w:color w:val="000000" w:themeColor="text1"/>
          <w:sz w:val="32"/>
          <w:szCs w:val="32"/>
          <w:lang w:val="en-US" w:eastAsia="zh-CN"/>
          <w14:textFill>
            <w14:solidFill>
              <w14:schemeClr w14:val="tx1"/>
            </w14:solidFill>
          </w14:textFill>
        </w:rPr>
        <w:t>170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万余元。</w:t>
      </w:r>
    </w:p>
    <w:p w14:paraId="6ACEFE70">
      <w:pPr>
        <w:pStyle w:val="7"/>
        <w:keepNext w:val="0"/>
        <w:keepLines w:val="0"/>
        <w:pageBreakBefore w:val="0"/>
        <w:widowControl w:val="0"/>
        <w:kinsoku/>
        <w:wordWrap/>
        <w:overflowPunct/>
        <w:autoSpaceDE/>
        <w:autoSpaceDN/>
        <w:bidi w:val="0"/>
        <w:spacing w:line="560" w:lineRule="exact"/>
        <w:ind w:left="0" w:leftChars="0" w:firstLine="643" w:firstLineChars="200"/>
        <w:textAlignment w:val="auto"/>
        <w:outlineLvl w:val="1"/>
        <w:rPr>
          <w:rFonts w:hint="eastAsia" w:ascii="楷体_GB2312" w:hAnsi="楷体_GB2312" w:eastAsia="楷体_GB2312" w:cs="楷体_GB2312"/>
          <w:b/>
          <w:bCs/>
          <w:sz w:val="32"/>
          <w:szCs w:val="32"/>
          <w:lang w:val="en-US" w:eastAsia="zh-CN"/>
        </w:rPr>
      </w:pPr>
      <w:bookmarkStart w:id="15" w:name="_Toc30028"/>
      <w:r>
        <w:rPr>
          <w:rFonts w:hint="eastAsia" w:ascii="楷体_GB2312" w:hAnsi="楷体_GB2312" w:eastAsia="楷体_GB2312" w:cs="楷体_GB2312"/>
          <w:b/>
          <w:bCs/>
          <w:sz w:val="32"/>
          <w:szCs w:val="32"/>
          <w:lang w:val="en-US" w:eastAsia="zh-CN"/>
        </w:rPr>
        <w:t>（六）其他情况</w:t>
      </w:r>
      <w:bookmarkEnd w:id="15"/>
    </w:p>
    <w:p w14:paraId="6CD386AA">
      <w:pPr>
        <w:keepNext w:val="0"/>
        <w:keepLines w:val="0"/>
        <w:pageBreakBefore w:val="0"/>
        <w:widowControl w:val="0"/>
        <w:kinsoku/>
        <w:wordWrap/>
        <w:overflowPunct/>
        <w:autoSpaceDE/>
        <w:autoSpaceDN/>
        <w:bidi w:val="0"/>
        <w:spacing w:line="560" w:lineRule="exact"/>
        <w:ind w:firstLine="640" w:firstLineChars="200"/>
        <w:textAlignment w:val="auto"/>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1.中百仓储超市有限公司（以下简称“中百超市公司”）与汉立制冷公司签订《维保合同》（</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2023-2024</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小业态冷柜维保</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2-1</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），维保服务地点为湖北省中百仓储超市门店，合同期限为</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2023</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年</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4</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月</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1</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日至</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2024</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年</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3</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月</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31</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日。</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中百超市江璟城店与</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中百超市公司属于隶属关系。</w:t>
      </w:r>
    </w:p>
    <w:p w14:paraId="5955D9B1">
      <w:pPr>
        <w:keepNext w:val="0"/>
        <w:keepLines w:val="0"/>
        <w:pageBreakBefore w:val="0"/>
        <w:widowControl w:val="0"/>
        <w:kinsoku/>
        <w:wordWrap/>
        <w:overflowPunct/>
        <w:autoSpaceDE/>
        <w:autoSpaceDN/>
        <w:bidi w:val="0"/>
        <w:spacing w:line="560" w:lineRule="exact"/>
        <w:ind w:firstLine="640" w:firstLineChars="200"/>
        <w:textAlignment w:val="auto"/>
        <w:rPr>
          <w:rFonts w:hint="default"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 xml:space="preserve">2.根据《剩余电流动作保护装置安装和运行》（GB/T </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13955-2017</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）第</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4.4.1</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条的规定“末端保护 下列设备和场所应安装末端保护RCD  d）安装在户外的电气装置”。冷柜外机属于户外电气装置，应当进行末路保护，安装剩余电流</w:t>
      </w:r>
      <w:r>
        <w:rPr>
          <w:rFonts w:hint="default"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漏电保护器</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w:t>
      </w:r>
    </w:p>
    <w:p w14:paraId="278327E6">
      <w:pPr>
        <w:pStyle w:val="5"/>
        <w:keepNext w:val="0"/>
        <w:keepLines w:val="0"/>
        <w:pageBreakBefore w:val="0"/>
        <w:widowControl w:val="0"/>
        <w:kinsoku/>
        <w:wordWrap/>
        <w:overflowPunct/>
        <w:autoSpaceDE/>
        <w:autoSpaceDN/>
        <w:bidi w:val="0"/>
        <w:spacing w:line="560" w:lineRule="exact"/>
        <w:ind w:firstLine="640" w:firstLineChars="200"/>
        <w:textAlignment w:val="auto"/>
        <w:outlineLvl w:val="0"/>
        <w:rPr>
          <w:rFonts w:hint="eastAsia" w:ascii="黑体" w:hAnsi="黑体" w:eastAsia="黑体" w:cs="黑体"/>
          <w:sz w:val="32"/>
          <w:szCs w:val="32"/>
          <w:lang w:val="en-US" w:eastAsia="zh-CN"/>
        </w:rPr>
      </w:pPr>
      <w:bookmarkStart w:id="16" w:name="_Toc6695"/>
      <w:r>
        <w:rPr>
          <w:rFonts w:hint="eastAsia" w:ascii="黑体" w:hAnsi="黑体" w:eastAsia="黑体" w:cs="黑体"/>
          <w:sz w:val="32"/>
          <w:szCs w:val="32"/>
          <w:lang w:val="en-US" w:eastAsia="zh-CN"/>
        </w:rPr>
        <w:t>二、事故应急处置及评估情况</w:t>
      </w:r>
      <w:bookmarkEnd w:id="16"/>
    </w:p>
    <w:p w14:paraId="3D4069AE">
      <w:pPr>
        <w:pStyle w:val="7"/>
        <w:keepNext w:val="0"/>
        <w:keepLines w:val="0"/>
        <w:pageBreakBefore w:val="0"/>
        <w:widowControl w:val="0"/>
        <w:kinsoku/>
        <w:wordWrap/>
        <w:overflowPunct/>
        <w:autoSpaceDE/>
        <w:autoSpaceDN/>
        <w:bidi w:val="0"/>
        <w:spacing w:line="560" w:lineRule="exact"/>
        <w:ind w:left="0" w:leftChars="0" w:firstLine="643" w:firstLineChars="200"/>
        <w:textAlignment w:val="auto"/>
        <w:outlineLvl w:val="1"/>
        <w:rPr>
          <w:rFonts w:hint="eastAsia" w:ascii="楷体_GB2312" w:hAnsi="楷体_GB2312" w:eastAsia="楷体_GB2312" w:cs="楷体_GB2312"/>
          <w:b/>
          <w:bCs/>
          <w:sz w:val="32"/>
          <w:szCs w:val="32"/>
          <w:lang w:val="en-US" w:eastAsia="zh-CN"/>
        </w:rPr>
      </w:pPr>
      <w:bookmarkStart w:id="17" w:name="_Toc21999"/>
      <w:r>
        <w:rPr>
          <w:rFonts w:hint="eastAsia" w:ascii="楷体_GB2312" w:hAnsi="楷体_GB2312" w:eastAsia="楷体_GB2312" w:cs="楷体_GB2312"/>
          <w:b/>
          <w:bCs/>
          <w:sz w:val="32"/>
          <w:szCs w:val="32"/>
          <w:lang w:val="en-US" w:eastAsia="zh-CN"/>
        </w:rPr>
        <w:t>（一）事故信息接报及响应情况</w:t>
      </w:r>
      <w:bookmarkEnd w:id="17"/>
    </w:p>
    <w:p w14:paraId="72407D2F">
      <w:pPr>
        <w:keepNext w:val="0"/>
        <w:keepLines w:val="0"/>
        <w:pageBreakBefore w:val="0"/>
        <w:widowControl w:val="0"/>
        <w:kinsoku/>
        <w:wordWrap/>
        <w:overflowPunct/>
        <w:autoSpaceDE/>
        <w:autoSpaceDN/>
        <w:bidi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宋体" w:hAnsi="宋体" w:eastAsia="宋体" w:cs="宋体"/>
          <w:color w:val="000000" w:themeColor="text1"/>
          <w:sz w:val="32"/>
          <w:szCs w:val="32"/>
          <w:lang w:val="en-US" w:eastAsia="zh-CN"/>
          <w14:textFill>
            <w14:solidFill>
              <w14:schemeClr w14:val="tx1"/>
            </w14:solidFill>
          </w14:textFill>
        </w:rPr>
        <w:t>20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时</w:t>
      </w:r>
      <w:r>
        <w:rPr>
          <w:rFonts w:hint="eastAsia" w:ascii="宋体" w:hAnsi="宋体" w:eastAsia="宋体" w:cs="宋体"/>
          <w:color w:val="000000" w:themeColor="text1"/>
          <w:sz w:val="32"/>
          <w:szCs w:val="32"/>
          <w:lang w:val="en-US" w:eastAsia="zh-CN"/>
          <w14:textFill>
            <w14:solidFill>
              <w14:schemeClr w14:val="tx1"/>
            </w14:solidFill>
          </w14:textFill>
        </w:rPr>
        <w:t>48</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分许，现场人员拨打</w:t>
      </w:r>
      <w:r>
        <w:rPr>
          <w:rFonts w:hint="eastAsia" w:ascii="宋体" w:hAnsi="宋体" w:eastAsia="宋体" w:cs="宋体"/>
          <w:color w:val="000000" w:themeColor="text1"/>
          <w:sz w:val="32"/>
          <w:szCs w:val="32"/>
          <w:lang w:val="en-US" w:eastAsia="zh-CN"/>
          <w14:textFill>
            <w14:solidFill>
              <w14:schemeClr w14:val="tx1"/>
            </w14:solidFill>
          </w14:textFill>
        </w:rPr>
        <w:t>120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急救电话。</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21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时</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01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分许，</w:t>
      </w:r>
      <w:r>
        <w:rPr>
          <w:rFonts w:hint="eastAsia" w:ascii="宋体" w:hAnsi="宋体" w:eastAsia="宋体" w:cs="宋体"/>
          <w:color w:val="000000" w:themeColor="text1"/>
          <w:kern w:val="2"/>
          <w:sz w:val="32"/>
          <w:szCs w:val="32"/>
          <w:u w:val="none" w:color="auto"/>
          <w:lang w:val="en-US" w:eastAsia="zh-CN" w:bidi="ar-SA"/>
          <w14:textFill>
            <w14:solidFill>
              <w14:schemeClr w14:val="tx1"/>
            </w14:solidFill>
          </w14:textFill>
        </w:rPr>
        <w:t>120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急救中心到达现场后，因人员被困难以搬运，遂要求现场人员拨打</w:t>
      </w:r>
      <w:r>
        <w:rPr>
          <w:rFonts w:hint="eastAsia" w:ascii="宋体" w:hAnsi="宋体" w:eastAsia="宋体" w:cs="宋体"/>
          <w:color w:val="000000" w:themeColor="text1"/>
          <w:sz w:val="32"/>
          <w:szCs w:val="32"/>
          <w:lang w:val="en-US" w:eastAsia="zh-CN"/>
          <w14:textFill>
            <w14:solidFill>
              <w14:schemeClr w14:val="tx1"/>
            </w14:solidFill>
          </w14:textFill>
        </w:rPr>
        <w:t>119</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救援电话。</w:t>
      </w:r>
      <w:r>
        <w:rPr>
          <w:rFonts w:hint="eastAsia" w:ascii="宋体" w:hAnsi="宋体" w:eastAsia="宋体" w:cs="宋体"/>
          <w:color w:val="000000" w:themeColor="text1"/>
          <w:sz w:val="32"/>
          <w:szCs w:val="32"/>
          <w:lang w:val="en-US" w:eastAsia="zh-CN"/>
          <w14:textFill>
            <w14:solidFill>
              <w14:schemeClr w14:val="tx1"/>
            </w14:solidFill>
          </w14:textFill>
        </w:rPr>
        <w:t>21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时</w:t>
      </w:r>
      <w:r>
        <w:rPr>
          <w:rFonts w:hint="eastAsia" w:ascii="宋体" w:hAnsi="宋体" w:eastAsia="宋体" w:cs="宋体"/>
          <w:color w:val="000000" w:themeColor="text1"/>
          <w:sz w:val="32"/>
          <w:szCs w:val="32"/>
          <w:lang w:val="en-US" w:eastAsia="zh-CN"/>
          <w14:textFill>
            <w14:solidFill>
              <w14:schemeClr w14:val="tx1"/>
            </w14:solidFill>
          </w14:textFill>
        </w:rPr>
        <w:t>04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分许，现场人员拨打</w:t>
      </w:r>
      <w:r>
        <w:rPr>
          <w:rFonts w:hint="eastAsia" w:ascii="宋体" w:hAnsi="宋体" w:eastAsia="宋体" w:cs="宋体"/>
          <w:color w:val="000000" w:themeColor="text1"/>
          <w:sz w:val="32"/>
          <w:szCs w:val="32"/>
          <w:lang w:val="en-US" w:eastAsia="zh-CN"/>
          <w14:textFill>
            <w14:solidFill>
              <w14:schemeClr w14:val="tx1"/>
            </w14:solidFill>
          </w14:textFill>
        </w:rPr>
        <w:t>110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报警电话。接报后，区公安分局、区消防救援大队、区应急管理局、区商务局和新沟桥街道办事处立即组织人员赶赴现场。</w:t>
      </w:r>
    </w:p>
    <w:p w14:paraId="4CC4A9B5">
      <w:pPr>
        <w:pStyle w:val="7"/>
        <w:keepNext w:val="0"/>
        <w:keepLines w:val="0"/>
        <w:pageBreakBefore w:val="0"/>
        <w:widowControl w:val="0"/>
        <w:kinsoku/>
        <w:wordWrap/>
        <w:overflowPunct/>
        <w:autoSpaceDE/>
        <w:autoSpaceDN/>
        <w:bidi w:val="0"/>
        <w:spacing w:line="560" w:lineRule="exact"/>
        <w:ind w:left="0" w:leftChars="0" w:firstLine="643" w:firstLineChars="200"/>
        <w:textAlignment w:val="auto"/>
        <w:outlineLvl w:val="1"/>
        <w:rPr>
          <w:rFonts w:hint="eastAsia" w:ascii="楷体_GB2312" w:hAnsi="楷体_GB2312" w:eastAsia="楷体_GB2312" w:cs="楷体_GB2312"/>
          <w:b/>
          <w:bCs/>
          <w:sz w:val="32"/>
          <w:szCs w:val="32"/>
          <w:lang w:val="en-US" w:eastAsia="zh-CN"/>
        </w:rPr>
      </w:pPr>
      <w:bookmarkStart w:id="18" w:name="_Toc16317"/>
      <w:r>
        <w:rPr>
          <w:rFonts w:hint="eastAsia" w:ascii="楷体_GB2312" w:hAnsi="楷体_GB2312" w:eastAsia="楷体_GB2312" w:cs="楷体_GB2312"/>
          <w:b/>
          <w:bCs/>
          <w:sz w:val="32"/>
          <w:szCs w:val="32"/>
          <w:lang w:val="en-US" w:eastAsia="zh-CN"/>
        </w:rPr>
        <w:t>（二）事故现场应急处置情况</w:t>
      </w:r>
      <w:bookmarkEnd w:id="18"/>
    </w:p>
    <w:p w14:paraId="5A8F02F1">
      <w:pPr>
        <w:keepNext w:val="0"/>
        <w:keepLines w:val="0"/>
        <w:pageBreakBefore w:val="0"/>
        <w:widowControl w:val="0"/>
        <w:kinsoku/>
        <w:wordWrap/>
        <w:overflowPunct/>
        <w:autoSpaceDE/>
        <w:autoSpaceDN/>
        <w:bidi w:val="0"/>
        <w:spacing w:line="560" w:lineRule="exact"/>
        <w:ind w:firstLine="640" w:firstLine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bookmarkStart w:id="19" w:name="_Toc22349"/>
      <w:r>
        <w:rPr>
          <w:rFonts w:hint="eastAsia" w:ascii="宋体" w:hAnsi="宋体" w:eastAsia="宋体" w:cs="宋体"/>
          <w:color w:val="000000" w:themeColor="text1"/>
          <w:sz w:val="32"/>
          <w:szCs w:val="32"/>
          <w:lang w:val="en-US" w:eastAsia="zh-CN"/>
          <w14:textFill>
            <w14:solidFill>
              <w14:schemeClr w14:val="tx1"/>
            </w14:solidFill>
          </w14:textFill>
        </w:rPr>
        <w:t>20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时</w:t>
      </w:r>
      <w:r>
        <w:rPr>
          <w:rFonts w:hint="eastAsia" w:ascii="宋体" w:hAnsi="宋体" w:eastAsia="宋体" w:cs="宋体"/>
          <w:color w:val="000000" w:themeColor="text1"/>
          <w:sz w:val="32"/>
          <w:szCs w:val="32"/>
          <w:lang w:val="en-US" w:eastAsia="zh-CN"/>
          <w14:textFill>
            <w14:solidFill>
              <w14:schemeClr w14:val="tx1"/>
            </w14:solidFill>
          </w14:textFill>
        </w:rPr>
        <w:t>47</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分许，中百超市江璟城店店员杨某霞发现伍某波侧卧在冷柜外机集中放置处隔断空间，经呼救无意识后拨打</w:t>
      </w:r>
      <w:r>
        <w:rPr>
          <w:rFonts w:hint="eastAsia" w:ascii="宋体" w:hAnsi="宋体" w:eastAsia="宋体" w:cs="宋体"/>
          <w:color w:val="000000" w:themeColor="text1"/>
          <w:sz w:val="32"/>
          <w:szCs w:val="32"/>
          <w:lang w:val="en-US" w:eastAsia="zh-CN"/>
          <w14:textFill>
            <w14:solidFill>
              <w14:schemeClr w14:val="tx1"/>
            </w14:solidFill>
          </w14:textFill>
        </w:rPr>
        <w:t>120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急救电话。</w:t>
      </w:r>
      <w:r>
        <w:rPr>
          <w:rFonts w:hint="eastAsia" w:ascii="宋体" w:hAnsi="宋体" w:eastAsia="宋体" w:cs="宋体"/>
          <w:color w:val="000000" w:themeColor="text1"/>
          <w:sz w:val="32"/>
          <w:szCs w:val="32"/>
          <w:lang w:val="en-US" w:eastAsia="zh-CN"/>
          <w14:textFill>
            <w14:solidFill>
              <w14:schemeClr w14:val="tx1"/>
            </w14:solidFill>
          </w14:textFill>
        </w:rPr>
        <w:t>120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急救中心接报后迅速派员赶往现场。因人员被困难以搬运，现场人员拨打</w:t>
      </w:r>
      <w:r>
        <w:rPr>
          <w:rFonts w:hint="eastAsia" w:ascii="宋体" w:hAnsi="宋体" w:eastAsia="宋体" w:cs="宋体"/>
          <w:color w:val="000000" w:themeColor="text1"/>
          <w:sz w:val="32"/>
          <w:szCs w:val="32"/>
          <w:lang w:val="en-US" w:eastAsia="zh-CN"/>
          <w14:textFill>
            <w14:solidFill>
              <w14:schemeClr w14:val="tx1"/>
            </w14:solidFill>
          </w14:textFill>
        </w:rPr>
        <w:t>119</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救援电话。</w:t>
      </w:r>
      <w:r>
        <w:rPr>
          <w:rFonts w:hint="eastAsia" w:ascii="宋体" w:hAnsi="宋体" w:eastAsia="宋体" w:cs="宋体"/>
          <w:color w:val="000000" w:themeColor="text1"/>
          <w:sz w:val="32"/>
          <w:szCs w:val="32"/>
          <w:lang w:val="en-US" w:eastAsia="zh-CN"/>
          <w14:textFill>
            <w14:solidFill>
              <w14:schemeClr w14:val="tx1"/>
            </w14:solidFill>
          </w14:textFill>
        </w:rPr>
        <w:t>119</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救援中心接报后迅速派员赶往现场，于</w:t>
      </w:r>
      <w:r>
        <w:rPr>
          <w:rFonts w:hint="eastAsia" w:ascii="宋体" w:hAnsi="宋体" w:eastAsia="宋体" w:cs="宋体"/>
          <w:color w:val="000000" w:themeColor="text1"/>
          <w:sz w:val="32"/>
          <w:szCs w:val="32"/>
          <w:lang w:val="en-US" w:eastAsia="zh-CN"/>
          <w14:textFill>
            <w14:solidFill>
              <w14:schemeClr w14:val="tx1"/>
            </w14:solidFill>
          </w14:textFill>
        </w:rPr>
        <w:t>22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时</w:t>
      </w:r>
      <w:r>
        <w:rPr>
          <w:rFonts w:hint="eastAsia" w:ascii="宋体" w:hAnsi="宋体" w:eastAsia="宋体" w:cs="宋体"/>
          <w:color w:val="000000" w:themeColor="text1"/>
          <w:sz w:val="32"/>
          <w:szCs w:val="32"/>
          <w:lang w:val="en-US" w:eastAsia="zh-CN"/>
          <w14:textFill>
            <w14:solidFill>
              <w14:schemeClr w14:val="tx1"/>
            </w14:solidFill>
          </w14:textFill>
        </w:rPr>
        <w:t>24</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分许将伍某波转移至平地。经</w:t>
      </w:r>
      <w:r>
        <w:rPr>
          <w:rFonts w:hint="eastAsia" w:ascii="宋体" w:hAnsi="宋体" w:eastAsia="宋体" w:cs="宋体"/>
          <w:color w:val="000000" w:themeColor="text1"/>
          <w:sz w:val="32"/>
          <w:szCs w:val="32"/>
          <w:lang w:val="en-US" w:eastAsia="zh-CN"/>
          <w14:textFill>
            <w14:solidFill>
              <w14:schemeClr w14:val="tx1"/>
            </w14:solidFill>
          </w14:textFill>
        </w:rPr>
        <w:t>120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急救人员确认，当场宣布伍某波死亡。</w:t>
      </w:r>
    </w:p>
    <w:bookmarkEnd w:id="19"/>
    <w:p w14:paraId="15DF6846">
      <w:pPr>
        <w:pStyle w:val="7"/>
        <w:keepNext w:val="0"/>
        <w:keepLines w:val="0"/>
        <w:pageBreakBefore w:val="0"/>
        <w:widowControl w:val="0"/>
        <w:kinsoku/>
        <w:wordWrap/>
        <w:overflowPunct/>
        <w:autoSpaceDE/>
        <w:autoSpaceDN/>
        <w:bidi w:val="0"/>
        <w:spacing w:line="560" w:lineRule="exact"/>
        <w:ind w:left="0" w:leftChars="0" w:firstLine="643" w:firstLineChars="200"/>
        <w:textAlignment w:val="auto"/>
        <w:outlineLvl w:val="1"/>
        <w:rPr>
          <w:rFonts w:hint="eastAsia" w:ascii="楷体_GB2312" w:hAnsi="楷体_GB2312" w:eastAsia="楷体_GB2312" w:cs="楷体_GB2312"/>
          <w:b/>
          <w:bCs/>
          <w:sz w:val="32"/>
          <w:szCs w:val="32"/>
          <w:lang w:val="en-US" w:eastAsia="zh-CN"/>
        </w:rPr>
      </w:pPr>
      <w:bookmarkStart w:id="20" w:name="_Toc5718"/>
      <w:r>
        <w:rPr>
          <w:rFonts w:hint="eastAsia" w:ascii="楷体_GB2312" w:hAnsi="楷体_GB2312" w:eastAsia="楷体_GB2312" w:cs="楷体_GB2312"/>
          <w:b/>
          <w:bCs/>
          <w:sz w:val="32"/>
          <w:szCs w:val="32"/>
          <w:lang w:val="en-US" w:eastAsia="zh-CN"/>
        </w:rPr>
        <w:t>（三）事故应急处置评估</w:t>
      </w:r>
      <w:bookmarkEnd w:id="20"/>
    </w:p>
    <w:p w14:paraId="38158C6C">
      <w:pPr>
        <w:keepNext w:val="0"/>
        <w:keepLines w:val="0"/>
        <w:pageBreakBefore w:val="0"/>
        <w:widowControl w:val="0"/>
        <w:kinsoku/>
        <w:wordWrap/>
        <w:overflowPunct/>
        <w:autoSpaceDE/>
        <w:autoSpaceDN/>
        <w:bidi w:val="0"/>
        <w:spacing w:line="560" w:lineRule="exact"/>
        <w:ind w:firstLine="640" w:firstLineChars="200"/>
        <w:textAlignment w:val="auto"/>
        <w:rPr>
          <w:rFonts w:hint="eastAsia" w:ascii="黑体" w:hAnsi="黑体" w:eastAsia="黑体" w:cs="黑体"/>
          <w:sz w:val="32"/>
          <w:szCs w:val="32"/>
          <w:lang w:val="en-US" w:eastAsia="zh-CN"/>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经事故调查组对事故应急处置复盘评估认为，事故发生后</w:t>
      </w:r>
      <w:r>
        <w:rPr>
          <w:rFonts w:hint="eastAsia" w:ascii="宋体" w:hAnsi="宋体" w:eastAsia="宋体" w:cs="宋体"/>
          <w:color w:val="000000" w:themeColor="text1"/>
          <w:sz w:val="32"/>
          <w:szCs w:val="32"/>
          <w:lang w:val="en-US" w:eastAsia="zh-CN"/>
          <w14:textFill>
            <w14:solidFill>
              <w14:schemeClr w14:val="tx1"/>
            </w14:solidFill>
          </w14:textFill>
        </w:rPr>
        <w:t>120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急救中心、</w:t>
      </w:r>
      <w:r>
        <w:rPr>
          <w:rFonts w:hint="eastAsia" w:ascii="宋体" w:hAnsi="宋体" w:eastAsia="宋体" w:cs="宋体"/>
          <w:color w:val="000000" w:themeColor="text1"/>
          <w:sz w:val="32"/>
          <w:szCs w:val="32"/>
          <w:lang w:val="en-US" w:eastAsia="zh-CN"/>
          <w14:textFill>
            <w14:solidFill>
              <w14:schemeClr w14:val="tx1"/>
            </w14:solidFill>
          </w14:textFill>
        </w:rPr>
        <w:t>119</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救援中心、区公安分局、区应急管理局、区商务局、新沟桥街道办事处等单位接报后，迅速组织人员赶赴现场处置，响应及时，分工明确，措施得当，处置稳妥，对相关信息报送及时准确，善后工作开展有序。</w:t>
      </w:r>
      <w:bookmarkStart w:id="21" w:name="_Toc21550"/>
    </w:p>
    <w:p w14:paraId="0B7516E5">
      <w:pPr>
        <w:pStyle w:val="5"/>
        <w:keepNext w:val="0"/>
        <w:keepLines w:val="0"/>
        <w:pageBreakBefore w:val="0"/>
        <w:widowControl w:val="0"/>
        <w:kinsoku/>
        <w:wordWrap/>
        <w:overflowPunct/>
        <w:autoSpaceDE/>
        <w:autoSpaceDN/>
        <w:bidi w:val="0"/>
        <w:spacing w:line="560" w:lineRule="exact"/>
        <w:ind w:firstLine="640" w:firstLineChars="200"/>
        <w:textAlignment w:val="auto"/>
        <w:outlineLvl w:val="0"/>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三、事故原因分析</w:t>
      </w:r>
      <w:bookmarkEnd w:id="21"/>
    </w:p>
    <w:p w14:paraId="08FC5E80">
      <w:pPr>
        <w:pStyle w:val="7"/>
        <w:keepNext w:val="0"/>
        <w:keepLines w:val="0"/>
        <w:pageBreakBefore w:val="0"/>
        <w:widowControl w:val="0"/>
        <w:kinsoku/>
        <w:wordWrap/>
        <w:overflowPunct/>
        <w:autoSpaceDE/>
        <w:autoSpaceDN/>
        <w:bidi w:val="0"/>
        <w:spacing w:line="560" w:lineRule="exact"/>
        <w:ind w:left="0" w:leftChars="0" w:firstLine="643" w:firstLineChars="200"/>
        <w:textAlignment w:val="auto"/>
        <w:outlineLvl w:val="1"/>
        <w:rPr>
          <w:rFonts w:hint="eastAsia" w:ascii="楷体_GB2312" w:hAnsi="楷体_GB2312" w:eastAsia="楷体_GB2312" w:cs="楷体_GB2312"/>
          <w:b/>
          <w:bCs/>
          <w:sz w:val="32"/>
          <w:szCs w:val="32"/>
          <w:lang w:val="en-US" w:eastAsia="zh-CN"/>
        </w:rPr>
      </w:pPr>
      <w:bookmarkStart w:id="22" w:name="_Toc7336"/>
      <w:r>
        <w:rPr>
          <w:rFonts w:hint="eastAsia" w:ascii="楷体_GB2312" w:hAnsi="楷体_GB2312" w:eastAsia="楷体_GB2312" w:cs="楷体_GB2312"/>
          <w:b/>
          <w:bCs/>
          <w:sz w:val="32"/>
          <w:szCs w:val="32"/>
          <w:lang w:val="en-US" w:eastAsia="zh-CN"/>
        </w:rPr>
        <w:t>（一）直接原因分析</w:t>
      </w:r>
      <w:bookmarkEnd w:id="22"/>
    </w:p>
    <w:p w14:paraId="466DA559">
      <w:pPr>
        <w:keepNext w:val="0"/>
        <w:keepLines w:val="0"/>
        <w:pageBreakBefore w:val="0"/>
        <w:widowControl w:val="0"/>
        <w:kinsoku/>
        <w:wordWrap/>
        <w:overflowPunct/>
        <w:autoSpaceDE/>
        <w:autoSpaceDN/>
        <w:bidi w:val="0"/>
        <w:spacing w:line="560" w:lineRule="exact"/>
        <w:ind w:firstLine="640" w:firstLineChars="200"/>
        <w:textAlignment w:val="auto"/>
        <w:rPr>
          <w:rFonts w:hint="eastAsia" w:ascii="楷体_GB2312" w:hAnsi="楷体_GB2312" w:eastAsia="楷体_GB2312" w:cs="楷体_GB2312"/>
          <w:b/>
          <w:bCs/>
          <w:sz w:val="32"/>
          <w:szCs w:val="32"/>
          <w:lang w:val="en-US" w:eastAsia="zh-CN"/>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通过对事故现场进行勘察、对人员进行询问、委托第三方检测机构检测，认定事故的直接原因是：伍某波安全意识淡薄，</w:t>
      </w:r>
      <w:r>
        <w:rPr>
          <w:rFonts w:hint="eastAsia" w:eastAsia="仿宋_GB2312"/>
          <w:sz w:val="32"/>
          <w:szCs w:val="32"/>
        </w:rPr>
        <w:t>未取得</w:t>
      </w:r>
      <w:r>
        <w:rPr>
          <w:rFonts w:hint="eastAsia" w:eastAsia="仿宋_GB2312"/>
          <w:sz w:val="32"/>
          <w:szCs w:val="32"/>
          <w:lang w:val="en-US" w:eastAsia="zh-CN"/>
        </w:rPr>
        <w:t>制冷与空调作业证从事维修</w:t>
      </w:r>
      <w:r>
        <w:rPr>
          <w:rFonts w:hint="eastAsia" w:eastAsia="仿宋_GB2312"/>
          <w:sz w:val="32"/>
          <w:szCs w:val="32"/>
        </w:rPr>
        <w:t>作业，违反操作规程带电作业</w:t>
      </w:r>
      <w:r>
        <w:rPr>
          <w:rFonts w:hint="eastAsia" w:eastAsia="仿宋_GB2312"/>
          <w:sz w:val="32"/>
          <w:szCs w:val="32"/>
          <w:lang w:eastAsia="zh-CN"/>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在测量氟利昂阀门处高压压力时，触摸到压差开关带电部分导致触电，由于作业活动空间受限，未能及时摆脱，加之冷柜外机未安装漏电保护器，无法断开电源，致其触电身亡。</w:t>
      </w:r>
    </w:p>
    <w:p w14:paraId="3092B89C">
      <w:pPr>
        <w:pStyle w:val="7"/>
        <w:keepNext w:val="0"/>
        <w:keepLines w:val="0"/>
        <w:pageBreakBefore w:val="0"/>
        <w:widowControl w:val="0"/>
        <w:kinsoku/>
        <w:wordWrap/>
        <w:overflowPunct/>
        <w:autoSpaceDE/>
        <w:autoSpaceDN/>
        <w:bidi w:val="0"/>
        <w:spacing w:line="560" w:lineRule="exact"/>
        <w:ind w:left="0" w:leftChars="0" w:firstLine="643" w:firstLineChars="200"/>
        <w:textAlignment w:val="auto"/>
        <w:outlineLvl w:val="1"/>
        <w:rPr>
          <w:rFonts w:hint="default" w:ascii="楷体_GB2312" w:hAnsi="楷体_GB2312" w:eastAsia="楷体_GB2312" w:cs="楷体_GB2312"/>
          <w:b/>
          <w:bCs/>
          <w:sz w:val="32"/>
          <w:szCs w:val="32"/>
          <w:lang w:val="en-US" w:eastAsia="zh-CN"/>
        </w:rPr>
      </w:pPr>
      <w:bookmarkStart w:id="23" w:name="_Toc10342"/>
      <w:r>
        <w:rPr>
          <w:rFonts w:hint="eastAsia" w:ascii="楷体_GB2312" w:hAnsi="楷体_GB2312" w:eastAsia="楷体_GB2312" w:cs="楷体_GB2312"/>
          <w:b/>
          <w:bCs/>
          <w:sz w:val="32"/>
          <w:szCs w:val="32"/>
          <w:lang w:val="en-US" w:eastAsia="zh-CN"/>
        </w:rPr>
        <w:t>（二）事故相关检测和鉴定情况</w:t>
      </w:r>
      <w:bookmarkEnd w:id="23"/>
    </w:p>
    <w:p w14:paraId="55D7A9B9">
      <w:pPr>
        <w:keepNext w:val="0"/>
        <w:keepLines w:val="0"/>
        <w:pageBreakBefore w:val="0"/>
        <w:widowControl w:val="0"/>
        <w:kinsoku/>
        <w:wordWrap/>
        <w:overflowPunct/>
        <w:autoSpaceDE/>
        <w:autoSpaceDN/>
        <w:bidi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经湖北德势弘馨安技术咨询有限公司现场勘察分析：</w:t>
      </w:r>
    </w:p>
    <w:p w14:paraId="539AFF50">
      <w:pPr>
        <w:keepNext w:val="0"/>
        <w:keepLines w:val="0"/>
        <w:pageBreakBefore w:val="0"/>
        <w:widowControl w:val="0"/>
        <w:kinsoku/>
        <w:wordWrap/>
        <w:overflowPunct/>
        <w:autoSpaceDE/>
        <w:autoSpaceDN/>
        <w:bidi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1.通过事发后亡者的身体姿态及双手情况的照片显示：亡者侧卧于室外机旁及双手有明显电流灼伤痕迹，并呈痉挛状，分析符合电流电击死亡。</w:t>
      </w:r>
    </w:p>
    <w:p w14:paraId="0AC391DB">
      <w:pPr>
        <w:keepNext w:val="0"/>
        <w:keepLines w:val="0"/>
        <w:pageBreakBefore w:val="0"/>
        <w:widowControl w:val="0"/>
        <w:kinsoku/>
        <w:wordWrap/>
        <w:overflowPunct/>
        <w:autoSpaceDE/>
        <w:autoSpaceDN/>
        <w:bidi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通过现场供电线路情况及设备现状、作业环境推断：维修人员进入工作现场后，由于作业空间狭窄，只能侧卧于冷柜外机旁开展作业；维修人员拆下电气控制部分外壳，打开压差开关并拿出压力表和连接软管准备测量氟利昂阀门处高压压力，触摸到压差开关带电部分。双手触摸的压差开关和氟利昂阀门处存在电源回路，由于作业活动空间受限，未能及时摆脱或断开电源致触电身亡。</w:t>
      </w:r>
    </w:p>
    <w:p w14:paraId="1E33D68E">
      <w:pPr>
        <w:pStyle w:val="7"/>
        <w:keepNext w:val="0"/>
        <w:keepLines w:val="0"/>
        <w:pageBreakBefore w:val="0"/>
        <w:widowControl w:val="0"/>
        <w:kinsoku/>
        <w:wordWrap/>
        <w:overflowPunct/>
        <w:autoSpaceDE/>
        <w:autoSpaceDN/>
        <w:bidi w:val="0"/>
        <w:spacing w:line="560" w:lineRule="exact"/>
        <w:ind w:left="0" w:leftChars="0" w:firstLine="643" w:firstLineChars="200"/>
        <w:textAlignment w:val="auto"/>
        <w:outlineLvl w:val="1"/>
        <w:rPr>
          <w:rFonts w:hint="eastAsia" w:ascii="楷体_GB2312" w:hAnsi="楷体_GB2312" w:eastAsia="楷体_GB2312" w:cs="楷体_GB2312"/>
          <w:b/>
          <w:bCs/>
          <w:sz w:val="32"/>
          <w:szCs w:val="32"/>
          <w:lang w:val="en-US" w:eastAsia="zh-CN"/>
        </w:rPr>
      </w:pPr>
      <w:bookmarkStart w:id="24" w:name="_Toc21526"/>
      <w:r>
        <w:rPr>
          <w:rFonts w:hint="eastAsia" w:ascii="楷体_GB2312" w:hAnsi="楷体_GB2312" w:eastAsia="楷体_GB2312" w:cs="楷体_GB2312"/>
          <w:b/>
          <w:bCs/>
          <w:sz w:val="32"/>
          <w:szCs w:val="32"/>
          <w:lang w:val="en-US" w:eastAsia="zh-CN"/>
        </w:rPr>
        <w:t>（三）间接原因分析</w:t>
      </w:r>
      <w:bookmarkEnd w:id="24"/>
    </w:p>
    <w:p w14:paraId="29EC1D25">
      <w:pPr>
        <w:keepNext w:val="0"/>
        <w:keepLines w:val="0"/>
        <w:pageBreakBefore w:val="0"/>
        <w:widowControl w:val="0"/>
        <w:kinsoku/>
        <w:wordWrap/>
        <w:overflowPunct/>
        <w:autoSpaceDE/>
        <w:autoSpaceDN/>
        <w:bidi w:val="0"/>
        <w:spacing w:line="560" w:lineRule="exact"/>
        <w:ind w:firstLine="640" w:firstLine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1.汉立制冷公司安排未取得相应特种作业资格的人员违规进行制冷与空调从事维修作业；安全生产教育培训不到位，从业人员存在违反操作规程的作业行为。</w:t>
      </w:r>
    </w:p>
    <w:p w14:paraId="6D6027DC">
      <w:pPr>
        <w:keepNext w:val="0"/>
        <w:keepLines w:val="0"/>
        <w:pageBreakBefore w:val="0"/>
        <w:widowControl w:val="0"/>
        <w:kinsoku/>
        <w:wordWrap/>
        <w:overflowPunct/>
        <w:autoSpaceDE/>
        <w:autoSpaceDN/>
        <w:bidi w:val="0"/>
        <w:spacing w:line="560" w:lineRule="exact"/>
        <w:ind w:firstLine="640" w:firstLine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2.中百超市江璟城店事故隐患排查整治不到位，冷柜外机末路未安装漏电保护器；对承包单位作业人员安全管理不到位，未核验特种作业人员证件</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w:t>
      </w:r>
    </w:p>
    <w:p w14:paraId="6BB48541">
      <w:pPr>
        <w:pStyle w:val="5"/>
        <w:keepNext w:val="0"/>
        <w:keepLines w:val="0"/>
        <w:pageBreakBefore w:val="0"/>
        <w:widowControl w:val="0"/>
        <w:kinsoku/>
        <w:wordWrap/>
        <w:overflowPunct/>
        <w:autoSpaceDE/>
        <w:autoSpaceDN/>
        <w:bidi w:val="0"/>
        <w:spacing w:line="560" w:lineRule="exact"/>
        <w:ind w:firstLine="640" w:firstLineChars="200"/>
        <w:textAlignment w:val="auto"/>
        <w:outlineLvl w:val="0"/>
        <w:rPr>
          <w:rFonts w:hint="eastAsia" w:ascii="黑体" w:hAnsi="黑体" w:eastAsia="黑体" w:cs="黑体"/>
          <w:sz w:val="32"/>
          <w:szCs w:val="32"/>
          <w:lang w:val="en-US" w:eastAsia="zh-CN"/>
        </w:rPr>
      </w:pPr>
      <w:bookmarkStart w:id="25" w:name="_Toc10491"/>
      <w:r>
        <w:rPr>
          <w:rFonts w:hint="eastAsia" w:ascii="黑体" w:hAnsi="黑体" w:eastAsia="黑体" w:cs="黑体"/>
          <w:sz w:val="32"/>
          <w:szCs w:val="32"/>
          <w:lang w:val="en-US" w:eastAsia="zh-CN"/>
        </w:rPr>
        <w:t>四、有关责任单位存在的问题</w:t>
      </w:r>
      <w:bookmarkEnd w:id="25"/>
    </w:p>
    <w:p w14:paraId="357FFAD0">
      <w:pPr>
        <w:keepNext w:val="0"/>
        <w:keepLines w:val="0"/>
        <w:pageBreakBefore w:val="0"/>
        <w:widowControl w:val="0"/>
        <w:kinsoku/>
        <w:wordWrap/>
        <w:overflowPunct/>
        <w:autoSpaceDE/>
        <w:autoSpaceDN/>
        <w:bidi w:val="0"/>
        <w:spacing w:line="560" w:lineRule="exact"/>
        <w:ind w:firstLine="643" w:firstLineChars="200"/>
        <w:textAlignment w:val="auto"/>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1.汉立制冷公司。</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安全生产主体责任落实不到位，安排未取得相应特种作业资格的人员违规进行从事制冷与空调维修作业</w:t>
      </w:r>
      <w:r>
        <w:rPr>
          <w:rStyle w:val="10"/>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0"/>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0"/>
      </w:r>
      <w:r>
        <w:rPr>
          <w:rStyle w:val="10"/>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；安全生产教育培训不到位，从业人员存在违反操作规程的作业行为</w:t>
      </w:r>
      <w:r>
        <w:rPr>
          <w:rStyle w:val="10"/>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0"/>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1"/>
      </w:r>
      <w:r>
        <w:rPr>
          <w:rStyle w:val="10"/>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p>
    <w:p w14:paraId="342A6A94">
      <w:pPr>
        <w:keepNext w:val="0"/>
        <w:keepLines w:val="0"/>
        <w:pageBreakBefore w:val="0"/>
        <w:widowControl w:val="0"/>
        <w:kinsoku/>
        <w:wordWrap/>
        <w:overflowPunct/>
        <w:autoSpaceDE/>
        <w:autoSpaceDN/>
        <w:bidi w:val="0"/>
        <w:spacing w:line="560" w:lineRule="exact"/>
        <w:ind w:firstLine="643"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2.中百超市江璟城店。</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事故隐患排查整治不到位，未消除冷柜外机末端未安装漏电保护器的隐患</w:t>
      </w:r>
      <w:r>
        <w:rPr>
          <w:rStyle w:val="10"/>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0"/>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2"/>
      </w:r>
      <w:r>
        <w:rPr>
          <w:rStyle w:val="10"/>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；对承包单位作业人员安全管理不到位，未核验特种作业人员证件</w:t>
      </w:r>
      <w:r>
        <w:rPr>
          <w:rStyle w:val="10"/>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0"/>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3"/>
      </w:r>
      <w:r>
        <w:rPr>
          <w:rStyle w:val="10"/>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w:t>
      </w:r>
    </w:p>
    <w:p w14:paraId="3899A4EB">
      <w:pPr>
        <w:keepNext w:val="0"/>
        <w:keepLines w:val="0"/>
        <w:pageBreakBefore w:val="0"/>
        <w:widowControl w:val="0"/>
        <w:kinsoku/>
        <w:wordWrap/>
        <w:overflowPunct/>
        <w:autoSpaceDE/>
        <w:autoSpaceDN/>
        <w:bidi w:val="0"/>
        <w:spacing w:line="560" w:lineRule="exact"/>
        <w:ind w:firstLine="640" w:firstLineChars="200"/>
        <w:textAlignment w:val="auto"/>
        <w:outlineLvl w:val="0"/>
        <w:rPr>
          <w:rFonts w:hint="eastAsia" w:ascii="黑体" w:hAnsi="黑体" w:eastAsia="黑体" w:cs="黑体"/>
          <w:color w:val="000000" w:themeColor="text1"/>
          <w:sz w:val="32"/>
          <w:szCs w:val="32"/>
          <w:lang w:val="en-US" w:eastAsia="zh-CN"/>
          <w14:textFill>
            <w14:solidFill>
              <w14:schemeClr w14:val="tx1"/>
            </w14:solidFill>
          </w14:textFill>
        </w:rPr>
      </w:pPr>
      <w:bookmarkStart w:id="26" w:name="_Toc5217"/>
      <w:r>
        <w:rPr>
          <w:rFonts w:hint="eastAsia" w:ascii="黑体" w:hAnsi="黑体" w:eastAsia="黑体" w:cs="黑体"/>
          <w:color w:val="000000" w:themeColor="text1"/>
          <w:sz w:val="32"/>
          <w:szCs w:val="32"/>
          <w:lang w:val="en-US" w:eastAsia="zh-CN"/>
          <w14:textFill>
            <w14:solidFill>
              <w14:schemeClr w14:val="tx1"/>
            </w14:solidFill>
          </w14:textFill>
        </w:rPr>
        <w:t>五、对有关责任人员和责任单位的处理建议</w:t>
      </w:r>
      <w:bookmarkEnd w:id="26"/>
    </w:p>
    <w:p w14:paraId="55FFBF0E">
      <w:pPr>
        <w:pStyle w:val="7"/>
        <w:keepNext w:val="0"/>
        <w:keepLines w:val="0"/>
        <w:pageBreakBefore w:val="0"/>
        <w:widowControl w:val="0"/>
        <w:kinsoku/>
        <w:wordWrap/>
        <w:overflowPunct/>
        <w:autoSpaceDE/>
        <w:autoSpaceDN/>
        <w:bidi w:val="0"/>
        <w:spacing w:line="560" w:lineRule="exact"/>
        <w:ind w:left="0" w:leftChars="0" w:firstLine="643" w:firstLineChars="200"/>
        <w:textAlignment w:val="auto"/>
        <w:outlineLvl w:val="1"/>
        <w:rPr>
          <w:rFonts w:hint="default" w:ascii="楷体_GB2312" w:hAnsi="楷体_GB2312" w:eastAsia="楷体_GB2312" w:cs="楷体_GB2312"/>
          <w:b/>
          <w:bCs/>
          <w:sz w:val="32"/>
          <w:szCs w:val="32"/>
          <w:lang w:val="en-US" w:eastAsia="zh-CN"/>
        </w:rPr>
      </w:pPr>
      <w:bookmarkStart w:id="27" w:name="_Toc32289"/>
      <w:r>
        <w:rPr>
          <w:rFonts w:hint="eastAsia" w:ascii="楷体_GB2312" w:hAnsi="楷体_GB2312" w:eastAsia="楷体_GB2312" w:cs="楷体_GB2312"/>
          <w:b/>
          <w:bCs/>
          <w:sz w:val="32"/>
          <w:szCs w:val="32"/>
          <w:lang w:val="en-US" w:eastAsia="zh-CN"/>
        </w:rPr>
        <w:t>（一）因在事故中死亡免予追究责任人员</w:t>
      </w:r>
      <w:bookmarkEnd w:id="27"/>
    </w:p>
    <w:p w14:paraId="31C3BB29">
      <w:pPr>
        <w:keepNext w:val="0"/>
        <w:keepLines w:val="0"/>
        <w:pageBreakBefore w:val="0"/>
        <w:widowControl w:val="0"/>
        <w:kinsoku/>
        <w:wordWrap/>
        <w:overflowPunct/>
        <w:autoSpaceDE/>
        <w:autoSpaceDN/>
        <w:bidi w:val="0"/>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伍某波</w:t>
      </w:r>
      <w:r>
        <w:rPr>
          <w:rFonts w:hint="eastAsia" w:eastAsia="仿宋_GB2312"/>
          <w:sz w:val="32"/>
          <w:szCs w:val="32"/>
        </w:rPr>
        <w:t>未取得</w:t>
      </w:r>
      <w:r>
        <w:rPr>
          <w:rFonts w:hint="eastAsia" w:eastAsia="仿宋_GB2312"/>
          <w:sz w:val="32"/>
          <w:szCs w:val="32"/>
          <w:lang w:val="en-US" w:eastAsia="zh-CN"/>
        </w:rPr>
        <w:t>制冷与空调作业证从事维修</w:t>
      </w:r>
      <w:r>
        <w:rPr>
          <w:rFonts w:hint="eastAsia" w:eastAsia="仿宋_GB2312"/>
          <w:sz w:val="32"/>
          <w:szCs w:val="32"/>
        </w:rPr>
        <w:t>作业，违反操作规程带电作业</w:t>
      </w:r>
      <w:r>
        <w:rPr>
          <w:rFonts w:hint="eastAsia" w:eastAsia="仿宋_GB2312"/>
          <w:sz w:val="32"/>
          <w:szCs w:val="32"/>
          <w:lang w:eastAsia="zh-CN"/>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造成自身触电身亡，对事故负有直接责任，因在事故中死亡，根据法律规定，免于追究责任。</w:t>
      </w:r>
    </w:p>
    <w:p w14:paraId="68508EE9">
      <w:pPr>
        <w:pStyle w:val="7"/>
        <w:keepNext w:val="0"/>
        <w:keepLines w:val="0"/>
        <w:pageBreakBefore w:val="0"/>
        <w:widowControl w:val="0"/>
        <w:kinsoku/>
        <w:wordWrap/>
        <w:overflowPunct/>
        <w:autoSpaceDE/>
        <w:autoSpaceDN/>
        <w:bidi w:val="0"/>
        <w:spacing w:line="560" w:lineRule="exact"/>
        <w:ind w:left="0" w:leftChars="0" w:firstLine="643" w:firstLineChars="200"/>
        <w:textAlignment w:val="auto"/>
        <w:outlineLvl w:val="1"/>
        <w:rPr>
          <w:rFonts w:hint="eastAsia" w:ascii="楷体_GB2312" w:hAnsi="楷体_GB2312" w:eastAsia="楷体_GB2312" w:cs="楷体_GB2312"/>
          <w:b/>
          <w:bCs/>
          <w:sz w:val="32"/>
          <w:szCs w:val="32"/>
          <w:lang w:val="en-US" w:eastAsia="zh-CN"/>
        </w:rPr>
      </w:pPr>
      <w:bookmarkStart w:id="28" w:name="_Toc15995"/>
      <w:r>
        <w:rPr>
          <w:rFonts w:hint="eastAsia" w:ascii="楷体_GB2312" w:hAnsi="楷体_GB2312" w:eastAsia="楷体_GB2312" w:cs="楷体_GB2312"/>
          <w:b/>
          <w:bCs/>
          <w:sz w:val="32"/>
          <w:szCs w:val="32"/>
          <w:lang w:val="en-US" w:eastAsia="zh-CN"/>
        </w:rPr>
        <w:t>（二）对事故有关责任人员和责任单位的行政处罚建议</w:t>
      </w:r>
      <w:bookmarkEnd w:id="28"/>
    </w:p>
    <w:p w14:paraId="6BB4D9A4">
      <w:pPr>
        <w:keepNext w:val="0"/>
        <w:keepLines w:val="0"/>
        <w:pageBreakBefore w:val="0"/>
        <w:widowControl w:val="0"/>
        <w:kinsoku/>
        <w:wordWrap/>
        <w:overflowPunct/>
        <w:autoSpaceDE/>
        <w:autoSpaceDN/>
        <w:bidi w:val="0"/>
        <w:spacing w:line="560" w:lineRule="exact"/>
        <w:ind w:firstLine="643"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汉立制冷公司。</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安排未取得相应特种作业资格的人员违规从事制冷与空调维修作业，安全生产教育培训不到位，从业人员存在违反操作规程的作业行为，</w:t>
      </w: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对事故负有责任。</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违反《安全生产法》</w:t>
      </w: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第三十条第一款</w:t>
      </w:r>
      <w:r>
        <w:rPr>
          <w:rStyle w:val="10"/>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0"/>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4"/>
      </w:r>
      <w:r>
        <w:rPr>
          <w:rStyle w:val="10"/>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和第二十八条第一款</w:t>
      </w:r>
      <w:r>
        <w:rPr>
          <w:rStyle w:val="10"/>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0"/>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5"/>
      </w:r>
      <w:r>
        <w:rPr>
          <w:rStyle w:val="10"/>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规定，建议由应急管理部门依照有关法律法规给予行政处罚。</w:t>
      </w:r>
    </w:p>
    <w:p w14:paraId="5D5ED41E">
      <w:pPr>
        <w:keepNext w:val="0"/>
        <w:keepLines w:val="0"/>
        <w:pageBreakBefore w:val="0"/>
        <w:widowControl w:val="0"/>
        <w:kinsoku/>
        <w:wordWrap/>
        <w:overflowPunct/>
        <w:autoSpaceDE/>
        <w:autoSpaceDN/>
        <w:bidi w:val="0"/>
        <w:spacing w:line="560" w:lineRule="exact"/>
        <w:ind w:firstLine="643" w:firstLineChars="200"/>
        <w:textAlignment w:val="auto"/>
        <w:rPr>
          <w:rFonts w:hint="eastAsia" w:ascii="仿宋" w:hAnsi="仿宋" w:eastAsia="仿宋" w:cs="仿宋"/>
          <w:sz w:val="32"/>
          <w:szCs w:val="32"/>
          <w:lang w:val="en-US" w:eastAsia="zh-CN"/>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2.韩某。</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汉立制冷公司主要负责人（法定代表人），未依法履行安全生产管理职责。违反《安全生产法》第二十</w:t>
      </w:r>
      <w:r>
        <w:rPr>
          <w:rFonts w:hint="eastAsia" w:ascii="仿宋_GB2312" w:hAnsi="仿宋" w:eastAsia="仿宋_GB2312" w:cs="楷体"/>
          <w:color w:val="auto"/>
          <w:sz w:val="32"/>
          <w:szCs w:val="32"/>
          <w:lang w:val="en-US" w:eastAsia="zh-CN"/>
        </w:rPr>
        <w:t>一条第一款第五项</w:t>
      </w:r>
      <w:r>
        <w:rPr>
          <w:rStyle w:val="10"/>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0"/>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6"/>
      </w:r>
      <w:r>
        <w:rPr>
          <w:rStyle w:val="10"/>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规定</w:t>
      </w:r>
      <w:r>
        <w:rPr>
          <w:rFonts w:hint="eastAsia" w:ascii="仿宋" w:hAnsi="仿宋" w:eastAsia="仿宋" w:cs="仿宋"/>
          <w:sz w:val="32"/>
          <w:szCs w:val="32"/>
          <w:lang w:val="en-US" w:eastAsia="zh-CN"/>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建议由应急管理部门依照有关法律法规给予行政处罚。</w:t>
      </w:r>
    </w:p>
    <w:p w14:paraId="7AC7DDB7">
      <w:pPr>
        <w:keepNext w:val="0"/>
        <w:keepLines w:val="0"/>
        <w:pageBreakBefore w:val="0"/>
        <w:widowControl w:val="0"/>
        <w:kinsoku/>
        <w:wordWrap/>
        <w:overflowPunct/>
        <w:autoSpaceDE/>
        <w:autoSpaceDN/>
        <w:bidi w:val="0"/>
        <w:spacing w:line="560" w:lineRule="exact"/>
        <w:ind w:firstLine="643" w:firstLineChars="200"/>
        <w:textAlignment w:val="auto"/>
        <w:rPr>
          <w:rFonts w:hint="default" w:ascii="仿宋_GB2312" w:hAnsi="仿宋_GB2312" w:eastAsia="仿宋_GB2312" w:cs="仿宋_GB2312"/>
          <w:b/>
          <w:bCs/>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3.徐某权。</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汉立制冷公司维修主管，安排未取得制冷与空调作业证的伍</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某</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波从事维修作业。涉嫌触犯《中华人民共和国刑法》第一百三十四条第二款</w:t>
      </w:r>
      <w:r>
        <w:rPr>
          <w:rStyle w:val="10"/>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Style w:val="10"/>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footnoteReference w:id="7"/>
      </w:r>
      <w:r>
        <w:rPr>
          <w:rStyle w:val="10"/>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规定，建议由公安部门依法对其进行处理。</w:t>
      </w:r>
    </w:p>
    <w:p w14:paraId="70723590">
      <w:pPr>
        <w:keepNext w:val="0"/>
        <w:keepLines w:val="0"/>
        <w:pageBreakBefore w:val="0"/>
        <w:widowControl w:val="0"/>
        <w:kinsoku/>
        <w:wordWrap/>
        <w:overflowPunct/>
        <w:autoSpaceDE/>
        <w:autoSpaceDN/>
        <w:bidi w:val="0"/>
        <w:spacing w:line="560" w:lineRule="exact"/>
        <w:ind w:firstLine="643" w:firstLineChars="200"/>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4.中百超市江璟城店。</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未消除冷柜外机末端未安装漏电保护器的隐患，未核验特种作业人员证件。违反《安全生产法》第四十一条第二款</w:t>
      </w:r>
      <w:r>
        <w:rPr>
          <w:rStyle w:val="10"/>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0"/>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8"/>
      </w:r>
      <w:r>
        <w:rPr>
          <w:rStyle w:val="10"/>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和</w:t>
      </w:r>
      <w:r>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t>第四十九条第二款</w:t>
      </w:r>
      <w:r>
        <w:rPr>
          <w:rStyle w:val="10"/>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0"/>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9"/>
      </w:r>
      <w:r>
        <w:rPr>
          <w:rStyle w:val="10"/>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规定，</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建议由应急管理部门依照有关法律法规给予行政处罚。</w:t>
      </w:r>
    </w:p>
    <w:p w14:paraId="0DBFF268">
      <w:pPr>
        <w:keepNext w:val="0"/>
        <w:keepLines w:val="0"/>
        <w:pageBreakBefore w:val="0"/>
        <w:widowControl w:val="0"/>
        <w:kinsoku/>
        <w:wordWrap/>
        <w:overflowPunct/>
        <w:autoSpaceDE/>
        <w:autoSpaceDN/>
        <w:bidi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叶某</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。中百超市江璟城店主要负责人，未依法履行安全生产管理职责。违反《安全生产法》第四十九条第二款</w:t>
      </w:r>
      <w:r>
        <w:rPr>
          <w:rStyle w:val="10"/>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0"/>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10"/>
      </w:r>
      <w:r>
        <w:rPr>
          <w:rStyle w:val="10"/>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规定</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，建议由应急管理部门依照有关法律法规给予行政处罚。</w:t>
      </w:r>
    </w:p>
    <w:p w14:paraId="54723EE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default"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pPr>
      <w:bookmarkStart w:id="29" w:name="_Toc16460"/>
      <w:r>
        <w:rPr>
          <w:rFonts w:hint="eastAsia" w:ascii="黑体" w:hAnsi="黑体" w:eastAsia="黑体" w:cs="黑体"/>
          <w:color w:val="000000" w:themeColor="text1"/>
          <w:sz w:val="32"/>
          <w:szCs w:val="32"/>
          <w:lang w:val="en-US" w:eastAsia="zh-CN"/>
          <w14:textFill>
            <w14:solidFill>
              <w14:schemeClr w14:val="tx1"/>
            </w14:solidFill>
          </w14:textFill>
        </w:rPr>
        <w:t>六、事故主要教训</w:t>
      </w:r>
      <w:bookmarkEnd w:id="29"/>
    </w:p>
    <w:p w14:paraId="62DC5661">
      <w:pPr>
        <w:keepNext w:val="0"/>
        <w:keepLines w:val="0"/>
        <w:pageBreakBefore w:val="0"/>
        <w:widowControl w:val="0"/>
        <w:kinsoku/>
        <w:wordWrap/>
        <w:overflowPunct/>
        <w:autoSpaceDE/>
        <w:autoSpaceDN/>
        <w:bidi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本起事故的发生暴露出部分生产经营单位安全生产主体责任落实不到位，安全生产教育不到位；从业人员安全意识淡薄，违法违规行为依然存在；事故隐患排查整治不到位，现场安全监督管理缺位。</w:t>
      </w:r>
    </w:p>
    <w:p w14:paraId="10B6AF7A">
      <w:pPr>
        <w:keepNext w:val="0"/>
        <w:keepLines w:val="0"/>
        <w:pageBreakBefore w:val="0"/>
        <w:widowControl w:val="0"/>
        <w:kinsoku/>
        <w:wordWrap/>
        <w:overflowPunct/>
        <w:autoSpaceDE/>
        <w:autoSpaceDN/>
        <w:bidi w:val="0"/>
        <w:spacing w:line="560" w:lineRule="exact"/>
        <w:ind w:firstLine="640" w:firstLineChars="200"/>
        <w:textAlignment w:val="auto"/>
        <w:outlineLvl w:val="0"/>
        <w:rPr>
          <w:rFonts w:hint="eastAsia" w:ascii="黑体" w:hAnsi="黑体" w:eastAsia="黑体" w:cs="黑体"/>
          <w:color w:val="000000" w:themeColor="text1"/>
          <w:sz w:val="32"/>
          <w:szCs w:val="32"/>
          <w:lang w:val="en-US" w:eastAsia="zh-CN"/>
          <w14:textFill>
            <w14:solidFill>
              <w14:schemeClr w14:val="tx1"/>
            </w14:solidFill>
          </w14:textFill>
        </w:rPr>
      </w:pPr>
      <w:bookmarkStart w:id="30" w:name="_Toc32557"/>
      <w:r>
        <w:rPr>
          <w:rFonts w:hint="eastAsia" w:ascii="黑体" w:hAnsi="黑体" w:eastAsia="黑体" w:cs="黑体"/>
          <w:color w:val="000000" w:themeColor="text1"/>
          <w:sz w:val="32"/>
          <w:szCs w:val="32"/>
          <w:lang w:val="en-US" w:eastAsia="zh-CN"/>
          <w14:textFill>
            <w14:solidFill>
              <w14:schemeClr w14:val="tx1"/>
            </w14:solidFill>
          </w14:textFill>
        </w:rPr>
        <w:t>七、事故整改和防范措施</w:t>
      </w:r>
      <w:bookmarkEnd w:id="30"/>
    </w:p>
    <w:p w14:paraId="6086554E">
      <w:pPr>
        <w:keepNext w:val="0"/>
        <w:keepLines w:val="0"/>
        <w:pageBreakBefore w:val="0"/>
        <w:widowControl w:val="0"/>
        <w:kinsoku/>
        <w:wordWrap/>
        <w:overflowPunct/>
        <w:autoSpaceDE/>
        <w:autoSpaceDN/>
        <w:bidi w:val="0"/>
        <w:spacing w:line="560" w:lineRule="exact"/>
        <w:ind w:firstLine="640" w:firstLineChars="200"/>
        <w:textAlignment w:val="auto"/>
        <w:rPr>
          <w:rFonts w:ascii="微软雅黑" w:hAnsi="微软雅黑" w:eastAsia="微软雅黑" w:cs="微软雅黑"/>
          <w:i w:val="0"/>
          <w:iCs w:val="0"/>
          <w:caps w:val="0"/>
          <w:color w:val="333333"/>
          <w:spacing w:val="0"/>
          <w:sz w:val="24"/>
          <w:szCs w:val="24"/>
          <w:shd w:val="clear" w:fill="FFFFFF"/>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（一）</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汉立制冷公司</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要深刻汲取本次事故教训，认真分析事故原因，强化公司各部门、各岗位责任落实，深化“三违”作业源头治理，特别是做好从业人员教育培训，保证从业人员具备必要的安全生产知识，掌握本岗位的安全操作技能。</w:t>
      </w:r>
    </w:p>
    <w:p w14:paraId="3C8785EC">
      <w:pPr>
        <w:keepNext w:val="0"/>
        <w:keepLines w:val="0"/>
        <w:pageBreakBefore w:val="0"/>
        <w:widowControl w:val="0"/>
        <w:kinsoku/>
        <w:wordWrap/>
        <w:overflowPunct/>
        <w:autoSpaceDE/>
        <w:autoSpaceDN/>
        <w:bidi w:val="0"/>
        <w:spacing w:line="56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（二）</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中百超市江璟城店</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要深刻汲取本次事故教训，强化用电安全管理，按规范严格敷设电气线路</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ab/>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、设备和设施，全面排查整治安全隐患问题，强化承包单位作业人员安全管理，做好作业现场监督检查，进一步改善安全生产条件。</w:t>
      </w:r>
    </w:p>
    <w:p w14:paraId="2A25D1BE">
      <w:pPr>
        <w:keepNext w:val="0"/>
        <w:keepLines w:val="0"/>
        <w:pageBreakBefore w:val="0"/>
        <w:widowControl w:val="0"/>
        <w:kinsoku/>
        <w:wordWrap/>
        <w:overflowPunct/>
        <w:autoSpaceDE/>
        <w:autoSpaceDN/>
        <w:bidi w:val="0"/>
        <w:spacing w:line="560" w:lineRule="exact"/>
        <w:ind w:firstLine="640" w:firstLine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（三）</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新沟桥街道</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及</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区商务局</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要深刻汲取事故教训，深入剖析事故原因，以案为鉴，组织做好事故警示。同时，要将用电安全作为日常安全检查的重要内容，严查特种作业人员无证作业行为。</w:t>
      </w:r>
    </w:p>
    <w:p w14:paraId="6ED06A7C">
      <w:pPr>
        <w:pStyle w:val="2"/>
        <w:rPr>
          <w:rFonts w:hint="eastAsia"/>
          <w:lang w:eastAsia="zh-CN"/>
        </w:rPr>
      </w:pPr>
    </w:p>
    <w:p w14:paraId="7649891F">
      <w:pPr>
        <w:pStyle w:val="2"/>
        <w:rPr>
          <w:rFonts w:hint="eastAsia"/>
          <w:lang w:eastAsia="zh-CN"/>
        </w:rPr>
      </w:pPr>
    </w:p>
    <w:p w14:paraId="5A575118">
      <w:pPr>
        <w:pStyle w:val="2"/>
        <w:wordWrap w:val="0"/>
        <w:jc w:val="right"/>
        <w:rPr>
          <w:rFonts w:hint="default"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青山区“</w:t>
      </w:r>
      <w:r>
        <w:rPr>
          <w:rFonts w:hint="eastAsia" w:ascii="宋体" w:hAnsi="宋体" w:eastAsia="宋体" w:cs="宋体"/>
          <w:b w:val="0"/>
          <w:bCs w:val="0"/>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r>
        <w:rPr>
          <w:rFonts w:hint="eastAsia" w:ascii="宋体" w:hAnsi="宋体" w:eastAsia="宋体" w:cs="宋体"/>
          <w:b w:val="0"/>
          <w:bCs w:val="0"/>
          <w:color w:val="000000" w:themeColor="text1"/>
          <w:sz w:val="32"/>
          <w:szCs w:val="32"/>
          <w:lang w:val="en-US" w:eastAsia="zh-CN"/>
          <w14:textFill>
            <w14:solidFill>
              <w14:schemeClr w14:val="tx1"/>
            </w14:solidFill>
          </w14:textFill>
        </w:rPr>
        <w:t>29</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”一般触电安全事故调查组</w:t>
      </w:r>
    </w:p>
    <w:p w14:paraId="3D49DA7C">
      <w:pPr>
        <w:pStyle w:val="2"/>
        <w:wordWrap/>
        <w:jc w:val="center"/>
        <w:rPr>
          <w:rFonts w:hint="default"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 xml:space="preserve">                 2024年7月17日</w:t>
      </w:r>
    </w:p>
    <w:sectPr>
      <w:footerReference r:id="rId5" w:type="default"/>
      <w:pgSz w:w="11906" w:h="16838"/>
      <w:pgMar w:top="2154" w:right="1304" w:bottom="1984" w:left="158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Helvetica">
    <w:altName w:val="Arial"/>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20655">
    <w:pPr>
      <w:pStyle w:val="3"/>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DEFC70">
                          <w:pPr>
                            <w:pStyle w:val="3"/>
                            <w:rPr>
                              <w:rFonts w:hint="eastAsia" w:ascii="宋体" w:hAnsi="宋体" w:eastAsia="宋体" w:cs="宋体"/>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4DEFC70">
                    <w:pPr>
                      <w:pStyle w:val="3"/>
                      <w:rPr>
                        <w:rFonts w:hint="eastAsia" w:ascii="宋体" w:hAnsi="宋体" w:eastAsia="宋体" w:cs="宋体"/>
                        <w:sz w:val="28"/>
                        <w:szCs w:val="28"/>
                      </w:rPr>
                    </w:pP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7A2F32">
                          <w:pPr>
                            <w:pStyle w:val="3"/>
                            <w:rPr>
                              <w:rFonts w:hint="eastAsia" w:ascii="宋体" w:hAnsi="宋体" w:eastAsia="宋体" w:cs="宋体"/>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757A2F32">
                    <w:pPr>
                      <w:pStyle w:val="3"/>
                      <w:rPr>
                        <w:rFonts w:hint="eastAsia" w:ascii="宋体" w:hAnsi="宋体" w:eastAsia="宋体" w:cs="宋体"/>
                        <w:sz w:val="28"/>
                        <w:szCs w:val="28"/>
                      </w:rPr>
                    </w:pP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044804">
                          <w:pPr>
                            <w:pStyle w:val="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66044804">
                    <w:pPr>
                      <w:pStyle w:val="3"/>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49329">
    <w:pPr>
      <w:pStyle w:val="3"/>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BDBA66">
                          <w:pPr>
                            <w:pStyle w:val="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73BDBA66">
                    <w:pPr>
                      <w:pStyle w:val="3"/>
                    </w:pPr>
                    <w:r>
                      <w:fldChar w:fldCharType="begin"/>
                    </w:r>
                    <w:r>
                      <w:instrText xml:space="preserve"> PAGE  \* MERGEFORMAT </w:instrText>
                    </w:r>
                    <w:r>
                      <w:fldChar w:fldCharType="separate"/>
                    </w:r>
                    <w:r>
                      <w:t>3</w:t>
                    </w:r>
                    <w:r>
                      <w:fldChar w:fldCharType="end"/>
                    </w:r>
                  </w:p>
                </w:txbxContent>
              </v:textbox>
            </v:shape>
          </w:pict>
        </mc:Fallback>
      </mc:AlternateContent>
    </w: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CBFAF6">
                          <w:pPr>
                            <w:pStyle w:val="3"/>
                            <w:rPr>
                              <w:rFonts w:hint="eastAsia" w:ascii="宋体" w:hAnsi="宋体" w:eastAsia="宋体" w:cs="宋体"/>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ACBFAF6">
                    <w:pPr>
                      <w:pStyle w:val="3"/>
                      <w:rPr>
                        <w:rFonts w:hint="eastAsia" w:ascii="宋体" w:hAnsi="宋体" w:eastAsia="宋体" w:cs="宋体"/>
                        <w:sz w:val="28"/>
                        <w:szCs w:val="28"/>
                      </w:rPr>
                    </w:pP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A078EA">
                          <w:pPr>
                            <w:pStyle w:val="3"/>
                            <w:rPr>
                              <w:rFonts w:hint="eastAsia" w:ascii="宋体" w:hAnsi="宋体" w:eastAsia="宋体" w:cs="宋体"/>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EA078EA">
                    <w:pPr>
                      <w:pStyle w:val="3"/>
                      <w:rPr>
                        <w:rFonts w:hint="eastAsia" w:ascii="宋体" w:hAnsi="宋体" w:eastAsia="宋体" w:cs="宋体"/>
                        <w:sz w:val="28"/>
                        <w:szCs w:val="28"/>
                      </w:rPr>
                    </w:pPr>
                  </w:p>
                </w:txbxContent>
              </v:textbox>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5C4AA7">
                          <w:pPr>
                            <w:pStyle w:val="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625C4AA7">
                    <w:pPr>
                      <w:pStyle w:val="3"/>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2">
    <w:p>
      <w:r>
        <w:separator/>
      </w:r>
    </w:p>
  </w:footnote>
  <w:footnote w:type="continuationSeparator" w:id="23">
    <w:p>
      <w:r>
        <w:continuationSeparator/>
      </w:r>
    </w:p>
  </w:footnote>
  <w:footnote w:id="0">
    <w:p w14:paraId="677591F4">
      <w:pPr>
        <w:pStyle w:val="6"/>
        <w:snapToGrid w:val="0"/>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《中华人民共和国安全生产法》第三十条第一款：生产经营单位的特种作业人员必须按照国家有关规定经专门的安全作业培训，取得相应资格，方可上岗作业。 </w:t>
      </w:r>
    </w:p>
  </w:footnote>
  <w:footnote w:id="1">
    <w:p w14:paraId="00A2AD19">
      <w:pPr>
        <w:pStyle w:val="6"/>
        <w:snapToGrid w:val="0"/>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《中华人民共和国安全生产法》第二十八条第一款：生产经营单位应当对从业人员进行安全生产教育和培训，保证从业人员具备必要的安全生产知识，熟悉有关的安全生产规章制度和安全操作规程， 掌握本岗位的安全操作技能，了解事故应急处理措施，知悉自身在安全生产方面的权利和义务。……。 </w:t>
      </w:r>
    </w:p>
  </w:footnote>
  <w:footnote w:id="2">
    <w:p w14:paraId="1B12659A">
      <w:pPr>
        <w:pStyle w:val="6"/>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《中华人民共和国安全生产法》第四十一条第二款：生产经营单位应当建立健全并落实生产安全事故隐患排查治理制度，采</w:t>
      </w:r>
      <w:r>
        <w:rPr>
          <w:rFonts w:hint="default" w:ascii="宋体" w:hAnsi="宋体" w:eastAsia="宋体" w:cs="宋体"/>
          <w:i w:val="0"/>
          <w:iCs w:val="0"/>
          <w:caps w:val="0"/>
          <w:color w:val="333333"/>
          <w:spacing w:val="0"/>
          <w:sz w:val="18"/>
          <w:szCs w:val="18"/>
          <w:shd w:val="clear" w:fill="FFFFFF"/>
          <w:lang w:val="en-US" w:eastAsia="zh-CN"/>
        </w:rPr>
        <w:t>取技术、管理措施，及时发现并</w:t>
      </w:r>
      <w:r>
        <w:rPr>
          <w:rFonts w:hint="default" w:ascii="Helvetica" w:hAnsi="Helvetica" w:eastAsia="Helvetica" w:cs="Helvetica"/>
          <w:i w:val="0"/>
          <w:iCs w:val="0"/>
          <w:caps w:val="0"/>
          <w:color w:val="333333"/>
          <w:spacing w:val="0"/>
          <w:sz w:val="21"/>
          <w:szCs w:val="21"/>
          <w:shd w:val="clear" w:fill="FFFFFF"/>
        </w:rPr>
        <w:t>消除事故隐患。</w:t>
      </w:r>
      <w:r>
        <w:rPr>
          <w:rFonts w:hint="eastAsia" w:ascii="Helvetica" w:hAnsi="Helvetica" w:eastAsia="宋体" w:cs="Helvetica"/>
          <w:i w:val="0"/>
          <w:iCs w:val="0"/>
          <w:caps w:val="0"/>
          <w:color w:val="333333"/>
          <w:spacing w:val="0"/>
          <w:sz w:val="21"/>
          <w:szCs w:val="21"/>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t>。</w:t>
      </w:r>
    </w:p>
  </w:footnote>
  <w:footnote w:id="3">
    <w:p w14:paraId="7A741D59">
      <w:pPr>
        <w:pStyle w:val="6"/>
        <w:snapToGrid w:val="0"/>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《中华人民共和国安全生产法》第四十九条第二款：……。生产经营单位对承包单位、承租单位的安全生产工作统一协调、管理，定期进行安全检查，发现安全问题的，应当及时督促整改</w:t>
      </w:r>
      <w:r>
        <w:rPr>
          <w:rFonts w:hint="default"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t> </w:t>
      </w:r>
    </w:p>
  </w:footnote>
  <w:footnote w:id="4">
    <w:p w14:paraId="28BE2607">
      <w:pPr>
        <w:pStyle w:val="6"/>
        <w:snapToGrid w:val="0"/>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《中华人民共和国安全生产法》第三十条第一款：生产经营单位的特种作业人员必须按照国家有关规定经专门的安全作业培训，取得相应资格，方可上岗作业。 </w:t>
      </w:r>
    </w:p>
  </w:footnote>
  <w:footnote w:id="5">
    <w:p w14:paraId="2A2C6472">
      <w:pPr>
        <w:pStyle w:val="6"/>
        <w:snapToGrid w:val="0"/>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《中华人民共和国安全生产法》第二十八条第一款：生产经营单位应当对从业人员进行安全生产教育和培训，保证从业人员具备必要的安全生产知识，熟悉有关的安全生产规章制度和安全操作规程， 掌握本岗位的安全操作技能，了解事故应急处理措施，知悉自身在安全生产方面的权利和义务。……。 </w:t>
      </w:r>
    </w:p>
  </w:footnote>
  <w:footnote w:id="6">
    <w:p w14:paraId="7AB2AB9B">
      <w:pPr>
        <w:pStyle w:val="6"/>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《中华人民共和国安全生产法》第二十一条第一款第五项：</w:t>
      </w:r>
      <w:r>
        <w:rPr>
          <w:rFonts w:hint="eastAsia" w:ascii="宋体" w:hAnsi="宋体" w:eastAsia="宋体" w:cs="宋体"/>
          <w:i w:val="0"/>
          <w:iCs w:val="0"/>
          <w:caps w:val="0"/>
          <w:color w:val="333333"/>
          <w:spacing w:val="0"/>
          <w:sz w:val="18"/>
          <w:szCs w:val="18"/>
          <w:shd w:val="clear" w:fill="FFFFFF"/>
        </w:rPr>
        <w:t>生产经营单位的主要负责人对本单位安全生产工作负有下列职责：（</w:t>
      </w:r>
      <w:r>
        <w:rPr>
          <w:rFonts w:hint="default" w:ascii="宋体" w:hAnsi="宋体" w:eastAsia="宋体" w:cs="宋体"/>
          <w:i w:val="0"/>
          <w:iCs w:val="0"/>
          <w:caps w:val="0"/>
          <w:color w:val="333333"/>
          <w:spacing w:val="0"/>
          <w:sz w:val="18"/>
          <w:szCs w:val="18"/>
          <w:shd w:val="clear" w:fill="FFFFFF"/>
        </w:rPr>
        <w:t>五）组织建立并落实安全风险分级管控和隐患排查治理双重预防工作机制，督促、检查本单位的安全生产工作，及时消除生产安全事故隐患</w:t>
      </w:r>
      <w:r>
        <w:rPr>
          <w:rFonts w:hint="default" w:ascii="宋体" w:hAnsi="宋体" w:eastAsia="宋体" w:cs="宋体"/>
          <w:i w:val="0"/>
          <w:iCs w:val="0"/>
          <w:caps w:val="0"/>
          <w:color w:val="333333"/>
          <w:spacing w:val="0"/>
          <w:sz w:val="18"/>
          <w:szCs w:val="18"/>
          <w:shd w:val="clear" w:fill="FFFFFF"/>
          <w:lang w:val="en-US" w:eastAsia="zh-CN"/>
        </w:rPr>
        <w:t>。</w:t>
      </w:r>
    </w:p>
  </w:footnote>
  <w:footnote w:id="7">
    <w:p w14:paraId="74C26CFB">
      <w:pPr>
        <w:pStyle w:val="6"/>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《中华人民共和国刑法》第一百三十四条第二款：</w:t>
      </w:r>
      <w:r>
        <w:rPr>
          <w:rFonts w:hint="eastAsia" w:ascii="宋体" w:hAnsi="宋体" w:eastAsia="宋体" w:cs="宋体"/>
          <w:i w:val="0"/>
          <w:iCs w:val="0"/>
          <w:caps w:val="0"/>
          <w:color w:val="333333"/>
          <w:spacing w:val="0"/>
          <w:sz w:val="18"/>
          <w:szCs w:val="18"/>
          <w:shd w:val="clear" w:fill="FFFFFF"/>
        </w:rPr>
        <w:t>【强令、组织</w:t>
      </w:r>
      <w:r>
        <w:rPr>
          <w:rFonts w:hint="default" w:ascii="宋体" w:hAnsi="宋体" w:eastAsia="宋体" w:cs="宋体"/>
          <w:i w:val="0"/>
          <w:iCs w:val="0"/>
          <w:caps w:val="0"/>
          <w:color w:val="333333"/>
          <w:spacing w:val="0"/>
          <w:sz w:val="18"/>
          <w:szCs w:val="18"/>
          <w:shd w:val="clear" w:fill="FFFFFF"/>
        </w:rPr>
        <w:t>他人违章冒险作业罪】强令他人违章冒险作业，或者明知存在重大事故隐患而不排除，仍冒险组织作业，因而发生重大伤亡事故或者造成其他严重后果的，处五年以下有期徒刑或者拘役；情节特别恶劣的，处五年以上有期徒刑</w:t>
      </w:r>
      <w:r>
        <w:rPr>
          <w:rFonts w:hint="eastAsia" w:ascii="宋体" w:hAnsi="宋体" w:eastAsia="宋体" w:cs="宋体"/>
          <w:i w:val="0"/>
          <w:iCs w:val="0"/>
          <w:caps w:val="0"/>
          <w:color w:val="333333"/>
          <w:spacing w:val="0"/>
          <w:sz w:val="18"/>
          <w:szCs w:val="18"/>
          <w:shd w:val="clear" w:fill="FFFFFF"/>
          <w:lang w:eastAsia="zh-CN"/>
        </w:rPr>
        <w:t>。</w:t>
      </w:r>
    </w:p>
  </w:footnote>
  <w:footnote w:id="8">
    <w:p w14:paraId="6B11E190">
      <w:pPr>
        <w:pStyle w:val="6"/>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《中华人民共和国安全生产法》第四十一条第二款：生产经营单位应当建立健全并落实生产安全事故隐患排查治理制度，采</w:t>
      </w:r>
      <w:r>
        <w:rPr>
          <w:rFonts w:hint="default" w:ascii="宋体" w:hAnsi="宋体" w:eastAsia="宋体" w:cs="宋体"/>
          <w:i w:val="0"/>
          <w:iCs w:val="0"/>
          <w:caps w:val="0"/>
          <w:color w:val="333333"/>
          <w:spacing w:val="0"/>
          <w:sz w:val="18"/>
          <w:szCs w:val="18"/>
          <w:shd w:val="clear" w:fill="FFFFFF"/>
          <w:lang w:val="en-US" w:eastAsia="zh-CN"/>
        </w:rPr>
        <w:t>取技术、管理措施，及时发现并</w:t>
      </w:r>
      <w:r>
        <w:rPr>
          <w:rFonts w:hint="default" w:ascii="Helvetica" w:hAnsi="Helvetica" w:eastAsia="Helvetica" w:cs="Helvetica"/>
          <w:i w:val="0"/>
          <w:iCs w:val="0"/>
          <w:caps w:val="0"/>
          <w:color w:val="333333"/>
          <w:spacing w:val="0"/>
          <w:sz w:val="21"/>
          <w:szCs w:val="21"/>
          <w:shd w:val="clear" w:fill="FFFFFF"/>
        </w:rPr>
        <w:t>消除事故隐患。</w:t>
      </w:r>
      <w:r>
        <w:rPr>
          <w:rFonts w:hint="eastAsia" w:ascii="Helvetica" w:hAnsi="Helvetica" w:eastAsia="宋体" w:cs="Helvetica"/>
          <w:i w:val="0"/>
          <w:iCs w:val="0"/>
          <w:caps w:val="0"/>
          <w:color w:val="333333"/>
          <w:spacing w:val="0"/>
          <w:sz w:val="21"/>
          <w:szCs w:val="21"/>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t>。</w:t>
      </w:r>
    </w:p>
  </w:footnote>
  <w:footnote w:id="9">
    <w:p w14:paraId="787A67B1">
      <w:pPr>
        <w:pStyle w:val="6"/>
        <w:snapToGrid w:val="0"/>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《中华人民共和国安全生产法》第四十九条第二款：……。生产经营单位对承包单位、承租单位的安全生产工作统一协调、管理，定期进行安全检查，发现安全问题的，应当及时督促整改</w:t>
      </w:r>
      <w:r>
        <w:rPr>
          <w:rFonts w:hint="default"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t> </w:t>
      </w:r>
    </w:p>
  </w:footnote>
  <w:footnote w:id="10">
    <w:p w14:paraId="2BB5AEC1">
      <w:pPr>
        <w:pStyle w:val="6"/>
        <w:snapToGrid w:val="0"/>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《中华人民共和国安全生产法》第四十九条第二款：……。生产经营单位对承包单位、承租单位的安全生产工作统一协调、管理，定期进行安全检查，发现安全问题的，应当及时督促整改</w:t>
      </w:r>
      <w:r>
        <w:rPr>
          <w:rFonts w:hint="default"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t>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22"/>
    <w:footnote w:id="2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I2MzEyMTdiNjdjYjIyYTY2ODA4NWVjNmJjNTVhMzkifQ=="/>
  </w:docVars>
  <w:rsids>
    <w:rsidRoot w:val="51194DA5"/>
    <w:rsid w:val="04EB0562"/>
    <w:rsid w:val="12366BD3"/>
    <w:rsid w:val="12442092"/>
    <w:rsid w:val="1511631C"/>
    <w:rsid w:val="199B6790"/>
    <w:rsid w:val="29C54C03"/>
    <w:rsid w:val="51194DA5"/>
    <w:rsid w:val="593F3B16"/>
    <w:rsid w:val="7E4264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li_正文"/>
    <w:basedOn w:val="1"/>
    <w:autoRedefine/>
    <w:qFormat/>
    <w:uiPriority w:val="0"/>
    <w:pPr>
      <w:widowControl w:val="0"/>
      <w:topLinePunct/>
      <w:adjustRightInd w:val="0"/>
      <w:snapToGrid w:val="0"/>
      <w:spacing w:line="360" w:lineRule="auto"/>
      <w:ind w:firstLine="700" w:firstLineChars="250"/>
      <w:textAlignment w:val="auto"/>
    </w:pPr>
    <w:rPr>
      <w:rFonts w:ascii="宋体" w:hAnsi="宋体"/>
      <w:sz w:val="28"/>
      <w:szCs w:val="28"/>
      <w:u w:val="none" w:color="auto"/>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0"/>
  </w:style>
  <w:style w:type="paragraph" w:styleId="6">
    <w:name w:val="footnote text"/>
    <w:basedOn w:val="1"/>
    <w:qFormat/>
    <w:uiPriority w:val="0"/>
    <w:pPr>
      <w:snapToGrid w:val="0"/>
      <w:jc w:val="left"/>
    </w:pPr>
    <w:rPr>
      <w:sz w:val="18"/>
    </w:rPr>
  </w:style>
  <w:style w:type="paragraph" w:styleId="7">
    <w:name w:val="toc 2"/>
    <w:basedOn w:val="1"/>
    <w:next w:val="1"/>
    <w:qFormat/>
    <w:uiPriority w:val="0"/>
    <w:pPr>
      <w:ind w:left="420" w:leftChars="200"/>
    </w:pPr>
  </w:style>
  <w:style w:type="character" w:styleId="10">
    <w:name w:val="footnote reference"/>
    <w:basedOn w:val="9"/>
    <w:qFormat/>
    <w:uiPriority w:val="0"/>
    <w:rPr>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4197</Words>
  <Characters>4386</Characters>
  <Lines>0</Lines>
  <Paragraphs>0</Paragraphs>
  <TotalTime>7</TotalTime>
  <ScaleCrop>false</ScaleCrop>
  <LinksUpToDate>false</LinksUpToDate>
  <CharactersWithSpaces>4492</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2024-06-27T06:58:00Z</dcterms:created>
  <dc:creator>Asnlssu</dc:creator>
  <cp:lastModifiedBy>Asnlssu</cp:lastModifiedBy>
  <cp:lastPrinted>2024-07-17T09:15:00Z</cp:lastPrinted>
  <dcterms:modified xsi:type="dcterms:W3CDTF">2024-07-25T09:29:20Z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5E7AC58640B94E7E98505D3D31AF518D_13</vt:lpwstr>
  </property>
</Properties>
</file>